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BBC4F" w14:textId="77777777" w:rsidR="007D1E12" w:rsidRPr="003E3F7E" w:rsidRDefault="007D1E12" w:rsidP="007D1E12">
      <w:pPr>
        <w:rPr>
          <w:rFonts w:eastAsia="Times New Roman"/>
          <w:b/>
          <w:bCs/>
          <w:color w:val="auto"/>
          <w:sz w:val="20"/>
          <w:szCs w:val="18"/>
        </w:rPr>
      </w:pPr>
      <w:r w:rsidRPr="003E3F7E">
        <w:rPr>
          <w:rFonts w:eastAsia="Times New Roman"/>
          <w:b/>
          <w:bCs/>
          <w:color w:val="auto"/>
          <w:sz w:val="20"/>
          <w:szCs w:val="18"/>
        </w:rPr>
        <w:t>МИСЛЕЊЕ од 23.02.2024</w:t>
      </w:r>
      <w:r w:rsidRPr="003E3F7E">
        <w:rPr>
          <w:rFonts w:eastAsia="Times New Roman"/>
          <w:b/>
          <w:bCs/>
          <w:color w:val="auto"/>
          <w:sz w:val="20"/>
          <w:szCs w:val="18"/>
          <w:lang w:val="ru-RU"/>
        </w:rPr>
        <w:t>:</w:t>
      </w:r>
    </w:p>
    <w:p w14:paraId="0EF42B4C" w14:textId="77777777" w:rsidR="007D1E12" w:rsidRPr="003E3F7E" w:rsidRDefault="007D1E12" w:rsidP="007D1E12">
      <w:pPr>
        <w:rPr>
          <w:rFonts w:eastAsia="Times New Roman"/>
          <w:color w:val="auto"/>
          <w:sz w:val="20"/>
          <w:szCs w:val="18"/>
          <w:lang w:val="ru-RU"/>
        </w:rPr>
      </w:pPr>
    </w:p>
    <w:p w14:paraId="482DBB2E" w14:textId="77777777" w:rsidR="007D1E12" w:rsidRPr="003E3F7E" w:rsidRDefault="007D1E12" w:rsidP="007D1E12">
      <w:pPr>
        <w:rPr>
          <w:rFonts w:eastAsia="Times New Roman"/>
          <w:color w:val="auto"/>
          <w:sz w:val="20"/>
          <w:szCs w:val="18"/>
        </w:rPr>
      </w:pPr>
      <w:r w:rsidRPr="003E3F7E">
        <w:rPr>
          <w:rFonts w:eastAsia="Times New Roman"/>
          <w:color w:val="auto"/>
          <w:sz w:val="20"/>
          <w:szCs w:val="18"/>
        </w:rPr>
        <w:t>Почитувани,</w:t>
      </w:r>
    </w:p>
    <w:p w14:paraId="1D72B2DF" w14:textId="77777777" w:rsidR="007D1E12" w:rsidRPr="003E3F7E" w:rsidRDefault="007D1E12" w:rsidP="007D1E12">
      <w:pPr>
        <w:rPr>
          <w:rFonts w:eastAsia="Times New Roman"/>
          <w:color w:val="auto"/>
          <w:sz w:val="20"/>
          <w:szCs w:val="18"/>
          <w:lang w:val="ru-RU"/>
        </w:rPr>
      </w:pPr>
    </w:p>
    <w:p w14:paraId="5444E2B6" w14:textId="77777777" w:rsidR="007D1E12" w:rsidRPr="003E3F7E" w:rsidRDefault="007D1E12" w:rsidP="007D1E12">
      <w:pPr>
        <w:rPr>
          <w:rFonts w:eastAsia="Times New Roman"/>
          <w:color w:val="auto"/>
          <w:sz w:val="20"/>
          <w:szCs w:val="18"/>
        </w:rPr>
      </w:pPr>
      <w:r w:rsidRPr="003E3F7E">
        <w:rPr>
          <w:rFonts w:eastAsia="Times New Roman"/>
          <w:color w:val="auto"/>
          <w:sz w:val="20"/>
          <w:szCs w:val="18"/>
        </w:rPr>
        <w:t xml:space="preserve">Во врска со Вашето прашање, Управата за јавни приходи, од даночен аспект,  Ве известува за следното:  </w:t>
      </w:r>
    </w:p>
    <w:p w14:paraId="71BA47D1" w14:textId="77777777" w:rsidR="007D1E12" w:rsidRPr="003E3F7E" w:rsidRDefault="007D1E12" w:rsidP="007D1E12">
      <w:pPr>
        <w:rPr>
          <w:rFonts w:eastAsia="Times New Roman"/>
          <w:color w:val="auto"/>
          <w:sz w:val="20"/>
          <w:szCs w:val="18"/>
        </w:rPr>
      </w:pPr>
      <w:r w:rsidRPr="003E3F7E">
        <w:rPr>
          <w:rFonts w:eastAsia="Times New Roman"/>
          <w:color w:val="auto"/>
          <w:sz w:val="20"/>
          <w:szCs w:val="18"/>
        </w:rPr>
        <w:t>Согласно член 2 точка 1 од Законот за данокот на додадена вредност (“Сл. Весник на РМ” бр. 44/99...198/18 и “Сл. Весник на РСМ” бр: 98/19….57/22 и 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126205C1" w14:textId="77777777" w:rsidR="007D1E12" w:rsidRPr="003E3F7E" w:rsidRDefault="007D1E12" w:rsidP="007D1E12">
      <w:pPr>
        <w:rPr>
          <w:rFonts w:eastAsia="Times New Roman"/>
          <w:color w:val="auto"/>
          <w:sz w:val="20"/>
          <w:szCs w:val="18"/>
        </w:rPr>
      </w:pPr>
      <w:r w:rsidRPr="003E3F7E">
        <w:rPr>
          <w:rFonts w:eastAsia="Times New Roman"/>
          <w:color w:val="auto"/>
          <w:sz w:val="20"/>
          <w:szCs w:val="18"/>
        </w:rPr>
        <w:t xml:space="preserve">Промет на добра во смисла на </w:t>
      </w:r>
      <w:bookmarkStart w:id="0" w:name="_Hlk204375914"/>
      <w:r w:rsidRPr="003E3F7E">
        <w:rPr>
          <w:rFonts w:eastAsia="Times New Roman"/>
          <w:color w:val="auto"/>
          <w:sz w:val="20"/>
          <w:szCs w:val="18"/>
        </w:rPr>
        <w:t xml:space="preserve">член 3 став 1 од ЗДДВ </w:t>
      </w:r>
      <w:bookmarkEnd w:id="0"/>
      <w:r w:rsidRPr="003E3F7E">
        <w:rPr>
          <w:rFonts w:eastAsia="Times New Roman"/>
          <w:color w:val="auto"/>
          <w:sz w:val="20"/>
          <w:szCs w:val="18"/>
        </w:rPr>
        <w:t xml:space="preserve">претставува преносот на правото на располагање со движен или недвижен материјален имот. </w:t>
      </w:r>
    </w:p>
    <w:p w14:paraId="55837515" w14:textId="77777777" w:rsidR="007D1E12" w:rsidRPr="003E3F7E" w:rsidRDefault="007D1E12" w:rsidP="007D1E12">
      <w:pPr>
        <w:rPr>
          <w:rFonts w:eastAsia="Times New Roman"/>
          <w:color w:val="auto"/>
          <w:sz w:val="20"/>
          <w:szCs w:val="18"/>
        </w:rPr>
      </w:pPr>
      <w:r w:rsidRPr="003E3F7E">
        <w:rPr>
          <w:rFonts w:eastAsia="Times New Roman"/>
          <w:color w:val="auto"/>
          <w:sz w:val="20"/>
          <w:szCs w:val="18"/>
        </w:rPr>
        <w:t>Промет на услуги претставува секоја дејност која не е промет на добра во смисла на член 3 од ЗДДВ (член 6 став 1 од ЗДДВ).</w:t>
      </w:r>
    </w:p>
    <w:p w14:paraId="2F2F9AC5" w14:textId="77777777" w:rsidR="007D1E12" w:rsidRPr="003E3F7E" w:rsidRDefault="007D1E12" w:rsidP="007D1E12">
      <w:pPr>
        <w:rPr>
          <w:rFonts w:eastAsia="Times New Roman"/>
          <w:color w:val="auto"/>
          <w:sz w:val="20"/>
          <w:szCs w:val="18"/>
        </w:rPr>
      </w:pPr>
      <w:r w:rsidRPr="003E3F7E">
        <w:rPr>
          <w:rFonts w:eastAsia="Times New Roman"/>
          <w:color w:val="auto"/>
          <w:sz w:val="20"/>
          <w:szCs w:val="18"/>
        </w:rPr>
        <w:t xml:space="preserve">Предавањето на јадења и пијалаци за консумација на лице место претставува услуга согласно член 6 став 2 точка 4 од ЗДДВ. </w:t>
      </w:r>
    </w:p>
    <w:p w14:paraId="50513FDF" w14:textId="77777777" w:rsidR="007D1E12" w:rsidRPr="003E3F7E" w:rsidRDefault="007D1E12" w:rsidP="007D1E12">
      <w:pPr>
        <w:rPr>
          <w:rFonts w:eastAsia="Times New Roman"/>
          <w:color w:val="auto"/>
          <w:sz w:val="20"/>
          <w:szCs w:val="18"/>
        </w:rPr>
      </w:pPr>
      <w:r w:rsidRPr="003E3F7E">
        <w:rPr>
          <w:rFonts w:eastAsia="Times New Roman"/>
          <w:color w:val="auto"/>
          <w:sz w:val="20"/>
          <w:szCs w:val="18"/>
        </w:rPr>
        <w:t>Согласно член 6 став 3 точка 2 од ЗДДВ како промет на услуги со надомест се смета вршењето услуги без надоместок од страна на даночниот обврзник за негови лични потреби, за потребите на вработените лица кај него или за други цели кои не се поврзани со неговата стопанска дејност.</w:t>
      </w:r>
    </w:p>
    <w:p w14:paraId="580C32B7" w14:textId="77777777" w:rsidR="007D1E12" w:rsidRPr="003E3F7E" w:rsidRDefault="007D1E12" w:rsidP="007D1E12">
      <w:pPr>
        <w:rPr>
          <w:rFonts w:eastAsia="Times New Roman"/>
          <w:color w:val="auto"/>
          <w:sz w:val="20"/>
          <w:szCs w:val="18"/>
        </w:rPr>
      </w:pPr>
      <w:r w:rsidRPr="003E3F7E">
        <w:rPr>
          <w:rFonts w:eastAsia="Times New Roman"/>
          <w:color w:val="auto"/>
          <w:sz w:val="20"/>
          <w:szCs w:val="18"/>
        </w:rPr>
        <w:t xml:space="preserve">Согласно  поглавјето 12 став 1 од Упатството за примена на ЗДДВ, предавање заради консумација на самото место постои кога: </w:t>
      </w:r>
    </w:p>
    <w:p w14:paraId="6702751D" w14:textId="77777777" w:rsidR="007D1E12" w:rsidRPr="003E3F7E" w:rsidRDefault="007D1E12" w:rsidP="007D1E12">
      <w:pPr>
        <w:pStyle w:val="ListParagraph"/>
        <w:numPr>
          <w:ilvl w:val="0"/>
          <w:numId w:val="9"/>
        </w:numPr>
        <w:ind w:left="284" w:hanging="284"/>
        <w:rPr>
          <w:rFonts w:eastAsia="Times New Roman"/>
          <w:color w:val="auto"/>
          <w:sz w:val="20"/>
          <w:szCs w:val="18"/>
        </w:rPr>
      </w:pPr>
      <w:r w:rsidRPr="003E3F7E">
        <w:rPr>
          <w:rFonts w:eastAsia="Times New Roman"/>
          <w:color w:val="auto"/>
          <w:sz w:val="20"/>
          <w:szCs w:val="18"/>
        </w:rPr>
        <w:t xml:space="preserve">јадењата и пијалаците, во зависност од околностите на предавањето, се определуваат за консумација во место кое е во просторна врска со местото за предавање и </w:t>
      </w:r>
    </w:p>
    <w:p w14:paraId="6453C32F" w14:textId="77777777" w:rsidR="007D1E12" w:rsidRPr="003E3F7E" w:rsidRDefault="007D1E12" w:rsidP="007D1E12">
      <w:pPr>
        <w:pStyle w:val="ListParagraph"/>
        <w:numPr>
          <w:ilvl w:val="0"/>
          <w:numId w:val="9"/>
        </w:numPr>
        <w:ind w:left="284" w:hanging="284"/>
        <w:rPr>
          <w:rFonts w:eastAsia="Times New Roman"/>
          <w:color w:val="auto"/>
          <w:sz w:val="20"/>
          <w:szCs w:val="18"/>
        </w:rPr>
      </w:pPr>
      <w:r w:rsidRPr="003E3F7E">
        <w:rPr>
          <w:rFonts w:eastAsia="Times New Roman"/>
          <w:color w:val="auto"/>
          <w:sz w:val="20"/>
          <w:szCs w:val="18"/>
          <w:u w:val="single"/>
        </w:rPr>
        <w:t>е обезбедена посебна опрема за консумација на самото место.</w:t>
      </w:r>
    </w:p>
    <w:p w14:paraId="7C73C041" w14:textId="77777777" w:rsidR="007D1E12" w:rsidRPr="003E3F7E" w:rsidRDefault="007D1E12" w:rsidP="007D1E12">
      <w:pPr>
        <w:rPr>
          <w:rFonts w:eastAsia="Times New Roman"/>
          <w:color w:val="auto"/>
          <w:sz w:val="20"/>
          <w:szCs w:val="18"/>
          <w:u w:val="single"/>
        </w:rPr>
      </w:pPr>
      <w:r w:rsidRPr="003E3F7E">
        <w:rPr>
          <w:rFonts w:eastAsia="Times New Roman"/>
          <w:color w:val="auto"/>
          <w:sz w:val="20"/>
          <w:szCs w:val="18"/>
        </w:rPr>
        <w:t>Даночна основа при испорака на исхрана на вработените се утврдува согласно член 19 став 1 точка 2 од ЗДДВ и тоа во висина на издатоците за извршените услуги и со примена на повластена даночна стапка од 10% согласно член 30-а од ЗДДВ.</w:t>
      </w:r>
    </w:p>
    <w:p w14:paraId="7FA38A2D" w14:textId="77777777" w:rsidR="007D1E12" w:rsidRPr="003E3F7E" w:rsidRDefault="007D1E12" w:rsidP="007D1E12">
      <w:pPr>
        <w:rPr>
          <w:rFonts w:eastAsia="Times New Roman"/>
          <w:color w:val="auto"/>
          <w:sz w:val="20"/>
          <w:szCs w:val="18"/>
        </w:rPr>
      </w:pPr>
      <w:r w:rsidRPr="003E3F7E">
        <w:rPr>
          <w:rFonts w:eastAsia="Times New Roman"/>
          <w:color w:val="auto"/>
          <w:sz w:val="20"/>
          <w:szCs w:val="18"/>
        </w:rPr>
        <w:t>Доколку даночниот обврзник самиот обезбедува исхрана за своите вработени, ќе има право на одбивка на претходниот данок од влезните исполнувања за набавените добра и услуги во врска со подготовката на храна за своите вработени, доколку се исполнети условите пропишани со член 33 и 34 од ЗДДВ, но исто така ќе има обврска да пресмета и плати данок на додадена вредност..</w:t>
      </w:r>
    </w:p>
    <w:p w14:paraId="3FF8D742" w14:textId="77777777" w:rsidR="007D1E12" w:rsidRPr="003E3F7E" w:rsidRDefault="007D1E12" w:rsidP="007D1E12">
      <w:pPr>
        <w:rPr>
          <w:rFonts w:eastAsia="Times New Roman"/>
          <w:color w:val="auto"/>
          <w:sz w:val="20"/>
          <w:szCs w:val="18"/>
        </w:rPr>
      </w:pPr>
      <w:r w:rsidRPr="003E3F7E">
        <w:rPr>
          <w:rFonts w:eastAsia="Times New Roman"/>
          <w:color w:val="auto"/>
          <w:sz w:val="20"/>
          <w:szCs w:val="18"/>
        </w:rPr>
        <w:t>Од друга страна според член 35 точка 6 од ЗДДВ, правото на одбивка на претходни даноци се исклучува за сите издатоци за услуги на сместување и исхрана кои биле извршени спрема даночниот обврзник како примател на исполнувањето. Ова важи не само за трошоци за сместување и исхрана по повод сопствено деловно патување или по повод службено патување на вработените, туку и на пример за сместување на деловни партнери или на вработените при ангажман надвор од нивното место на живеење. Кон издатоците за исхрана се вбројуваат сите издатоци за јадења, пијалаци и други средства за уживање.</w:t>
      </w:r>
    </w:p>
    <w:p w14:paraId="4866E301" w14:textId="77777777" w:rsidR="007D1E12" w:rsidRPr="003E3F7E" w:rsidRDefault="007D1E12" w:rsidP="007D1E12">
      <w:pPr>
        <w:rPr>
          <w:rFonts w:eastAsia="Times New Roman"/>
          <w:color w:val="auto"/>
          <w:sz w:val="20"/>
          <w:szCs w:val="18"/>
        </w:rPr>
      </w:pPr>
      <w:r w:rsidRPr="003E3F7E">
        <w:rPr>
          <w:rFonts w:eastAsia="Times New Roman"/>
          <w:color w:val="auto"/>
          <w:sz w:val="20"/>
          <w:szCs w:val="18"/>
        </w:rPr>
        <w:t>Кога исхраната на работниците е организирана како угостителска услуга оданочена со 10% ДДВ од друг даночен обврзник, примателот на исполнувањето нема право на одбивка на претходен данок согласно член 35 точка 6 од ЗДДВ. Но, доколку работодавачот обезбедува храна од друг даночен обврзник(оданочена со 5%) и потоа истат се послужува на вработените во тој случај има право на одбивка на влезниот ДДВ, но и обврска за пресметка на ДДВ по стапка од 10%.</w:t>
      </w:r>
    </w:p>
    <w:p w14:paraId="193B1196" w14:textId="1EE286E9" w:rsidR="009157F7" w:rsidRPr="007D1E12" w:rsidRDefault="009157F7" w:rsidP="007D1E12"/>
    <w:sectPr w:rsidR="009157F7" w:rsidRPr="007D1E12"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B68962" w14:textId="77777777" w:rsidR="00561900" w:rsidRPr="001F0481" w:rsidRDefault="00561900" w:rsidP="00805345">
      <w:r w:rsidRPr="001F0481">
        <w:separator/>
      </w:r>
    </w:p>
  </w:endnote>
  <w:endnote w:type="continuationSeparator" w:id="0">
    <w:p w14:paraId="6884496B" w14:textId="77777777" w:rsidR="00561900" w:rsidRPr="001F0481" w:rsidRDefault="00561900"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1F35B5" w14:textId="77777777" w:rsidR="00561900" w:rsidRPr="001F0481" w:rsidRDefault="00561900" w:rsidP="00805345">
      <w:r w:rsidRPr="001F0481">
        <w:separator/>
      </w:r>
    </w:p>
  </w:footnote>
  <w:footnote w:type="continuationSeparator" w:id="0">
    <w:p w14:paraId="41A23AFC" w14:textId="77777777" w:rsidR="00561900" w:rsidRPr="001F0481" w:rsidRDefault="00561900"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190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2AC1"/>
    <w:rsid w:val="00824A76"/>
    <w:rsid w:val="00826DFF"/>
    <w:rsid w:val="0083019E"/>
    <w:rsid w:val="00832914"/>
    <w:rsid w:val="008334C2"/>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472</Words>
  <Characters>2692</Characters>
  <Application>Microsoft Office Word</Application>
  <DocSecurity>0</DocSecurity>
  <Lines>22</Lines>
  <Paragraphs>6</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3158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2025-10-09T10:44:00Z</dcterms:created>
  <dcterms:modified xsi:type="dcterms:W3CDTF">2025-10-09T10:44:00Z</dcterms:modified>
</cp:coreProperties>
</file>