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FEE9A" w14:textId="77777777" w:rsidR="00BC43CC" w:rsidRPr="003E3F7E" w:rsidRDefault="00BC43CC" w:rsidP="00BC43CC">
      <w:pPr>
        <w:rPr>
          <w:rFonts w:eastAsia="Times New Roman"/>
          <w:b/>
          <w:bCs/>
          <w:color w:val="auto"/>
          <w:sz w:val="20"/>
          <w:szCs w:val="18"/>
          <w:lang w:val="ru-RU"/>
        </w:rPr>
      </w:pPr>
      <w:r w:rsidRPr="003E3F7E">
        <w:rPr>
          <w:rFonts w:eastAsia="Times New Roman"/>
          <w:b/>
          <w:bCs/>
          <w:color w:val="auto"/>
          <w:sz w:val="20"/>
          <w:szCs w:val="18"/>
        </w:rPr>
        <w:t>МИСЛЕЊЕ од 29.01.2024</w:t>
      </w:r>
      <w:r w:rsidRPr="003E3F7E">
        <w:rPr>
          <w:rFonts w:eastAsia="Times New Roman"/>
          <w:b/>
          <w:bCs/>
          <w:color w:val="auto"/>
          <w:sz w:val="20"/>
          <w:szCs w:val="18"/>
          <w:lang w:val="ru-RU"/>
        </w:rPr>
        <w:t>:</w:t>
      </w:r>
    </w:p>
    <w:p w14:paraId="4F6175C4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</w:p>
    <w:p w14:paraId="68EFC8A7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51F19073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</w:p>
    <w:p w14:paraId="3B3F6731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врска со Вашето прашање,  Управа за јавни приходи Ве известува:</w:t>
      </w:r>
    </w:p>
    <w:p w14:paraId="0A668D5C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Законот за данокот на додадена вредност (“Сл.Весник на РМ” бр. 44/99…198/18 и “Сл.Весник на РСМ” бр: 98/19...275/19, .......57/22 и 199/23 во натамошниот текст ЗДДВ), 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1B49ABA3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став 1 од Одлуката, се наведени промети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ЗДДВ.</w:t>
      </w:r>
    </w:p>
    <w:p w14:paraId="744A3BF1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 весник на РМ” бр. 45/14.... 160/16, Службен весник на РСМ, бр. 278/21….202/22),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5EEA8170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2 став 1 точка 16 од Одлуката, механизмот на пренесување на даночната обврска се применува на услугите на електроинсталатерски работи и тоа: </w:t>
      </w:r>
    </w:p>
    <w:p w14:paraId="65748D50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2 став 1 точка 16 од Одлуката, механизмот на пренесување на даночната обврска се применува на услугите за поставување на подни и ѕидни облоги, односно обложување, поплочување, поставување или опремување на згради и други објекти со: </w:t>
      </w:r>
    </w:p>
    <w:p w14:paraId="435E17EB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ѕидни или подни плочки и </w:t>
      </w:r>
    </w:p>
    <w:p w14:paraId="0BC874C1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  <w:u w:val="single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</w:t>
      </w:r>
      <w:r w:rsidRPr="003E3F7E">
        <w:rPr>
          <w:rFonts w:eastAsia="Times New Roman"/>
          <w:color w:val="auto"/>
          <w:sz w:val="20"/>
          <w:szCs w:val="18"/>
          <w:u w:val="single"/>
        </w:rPr>
        <w:t xml:space="preserve">подни и ѕидни облоги. </w:t>
      </w:r>
    </w:p>
    <w:p w14:paraId="2433D68C" w14:textId="77777777" w:rsidR="00BC43CC" w:rsidRPr="003E3F7E" w:rsidRDefault="00BC43CC" w:rsidP="00BC43CC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наведеното, на мислење сме дека наведената услуга е опфатена во член 2 став 1 точка 16 од Одлуката кон даночни обврзници кои се регистрирани за целите на ДДВ и овој промет потпаѓа под одредбите од член 32-а од ЗДДВ. </w:t>
      </w:r>
    </w:p>
    <w:p w14:paraId="193B1196" w14:textId="1EE286E9" w:rsidR="009157F7" w:rsidRPr="00BC43CC" w:rsidRDefault="009157F7" w:rsidP="00BC43CC"/>
    <w:sectPr w:rsidR="009157F7" w:rsidRPr="00BC43CC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14E88" w14:textId="77777777" w:rsidR="00841932" w:rsidRPr="001F0481" w:rsidRDefault="00841932" w:rsidP="00805345">
      <w:r w:rsidRPr="001F0481">
        <w:separator/>
      </w:r>
    </w:p>
  </w:endnote>
  <w:endnote w:type="continuationSeparator" w:id="0">
    <w:p w14:paraId="0FB6FA1D" w14:textId="77777777" w:rsidR="00841932" w:rsidRPr="001F0481" w:rsidRDefault="00841932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0A497" w14:textId="77777777" w:rsidR="00841932" w:rsidRPr="001F0481" w:rsidRDefault="00841932" w:rsidP="00805345">
      <w:r w:rsidRPr="001F0481">
        <w:separator/>
      </w:r>
    </w:p>
  </w:footnote>
  <w:footnote w:type="continuationSeparator" w:id="0">
    <w:p w14:paraId="50465720" w14:textId="77777777" w:rsidR="00841932" w:rsidRPr="001F0481" w:rsidRDefault="00841932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1932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2271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2025-10-09T10:48:00Z</dcterms:created>
  <dcterms:modified xsi:type="dcterms:W3CDTF">2025-10-09T10:48:00Z</dcterms:modified>
</cp:coreProperties>
</file>