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0AB58C" w14:textId="77777777" w:rsidR="00544608" w:rsidRPr="00944BC7" w:rsidRDefault="00544608" w:rsidP="00544608">
      <w:pPr>
        <w:rPr>
          <w:rFonts w:eastAsia="Times New Roman"/>
          <w:b/>
          <w:bCs/>
          <w:color w:val="000000" w:themeColor="text1"/>
          <w:sz w:val="20"/>
          <w:szCs w:val="20"/>
        </w:rPr>
      </w:pPr>
      <w:r w:rsidRPr="00944BC7">
        <w:rPr>
          <w:rFonts w:eastAsia="Times New Roman"/>
          <w:b/>
          <w:bCs/>
          <w:color w:val="000000" w:themeColor="text1"/>
          <w:sz w:val="20"/>
          <w:szCs w:val="20"/>
        </w:rPr>
        <w:t>МИСЛЕЊЕ од 30.01.2024:</w:t>
      </w:r>
    </w:p>
    <w:p w14:paraId="18E3A25D" w14:textId="77777777" w:rsidR="00544608" w:rsidRPr="00944BC7" w:rsidRDefault="00544608" w:rsidP="00544608">
      <w:pPr>
        <w:rPr>
          <w:rFonts w:eastAsia="Times New Roman"/>
          <w:b/>
          <w:bCs/>
          <w:color w:val="000000" w:themeColor="text1"/>
          <w:sz w:val="20"/>
          <w:szCs w:val="20"/>
        </w:rPr>
      </w:pPr>
    </w:p>
    <w:p w14:paraId="6FD88FD7" w14:textId="77777777" w:rsidR="00544608" w:rsidRPr="00944BC7" w:rsidRDefault="00544608" w:rsidP="00544608">
      <w:pPr>
        <w:ind w:right="45"/>
        <w:rPr>
          <w:rFonts w:eastAsia="Times New Roman"/>
          <w:color w:val="000000" w:themeColor="text1"/>
          <w:sz w:val="20"/>
          <w:szCs w:val="20"/>
        </w:rPr>
      </w:pPr>
      <w:r w:rsidRPr="00944BC7">
        <w:rPr>
          <w:rFonts w:eastAsia="Times New Roman"/>
          <w:color w:val="000000" w:themeColor="text1"/>
          <w:sz w:val="20"/>
          <w:szCs w:val="20"/>
        </w:rPr>
        <w:t>Почитувани,</w:t>
      </w:r>
    </w:p>
    <w:p w14:paraId="621324F0" w14:textId="77777777" w:rsidR="00544608" w:rsidRPr="00944BC7" w:rsidRDefault="00544608" w:rsidP="00544608">
      <w:pPr>
        <w:ind w:right="45"/>
        <w:rPr>
          <w:rFonts w:eastAsia="Times New Roman"/>
          <w:color w:val="000000" w:themeColor="text1"/>
          <w:sz w:val="20"/>
          <w:szCs w:val="20"/>
        </w:rPr>
      </w:pPr>
    </w:p>
    <w:p w14:paraId="137CF284" w14:textId="77777777" w:rsidR="00544608" w:rsidRPr="00944BC7" w:rsidRDefault="00544608" w:rsidP="00544608">
      <w:pPr>
        <w:ind w:right="45"/>
        <w:rPr>
          <w:rFonts w:eastAsia="Times New Roman"/>
          <w:color w:val="000000" w:themeColor="text1"/>
          <w:sz w:val="20"/>
          <w:szCs w:val="20"/>
        </w:rPr>
      </w:pPr>
      <w:r w:rsidRPr="00944BC7">
        <w:rPr>
          <w:rFonts w:eastAsia="Times New Roman"/>
          <w:color w:val="000000" w:themeColor="text1"/>
          <w:sz w:val="20"/>
          <w:szCs w:val="20"/>
        </w:rPr>
        <w:t>Во врска со поставенoто прашање Управата за јавни приходи, Ве известува:</w:t>
      </w:r>
    </w:p>
    <w:p w14:paraId="3B7077F0" w14:textId="77777777" w:rsidR="00544608" w:rsidRPr="00944BC7" w:rsidRDefault="00544608" w:rsidP="00544608">
      <w:pPr>
        <w:ind w:right="45"/>
        <w:rPr>
          <w:rFonts w:eastAsia="Times New Roman"/>
          <w:color w:val="000000" w:themeColor="text1"/>
          <w:sz w:val="20"/>
          <w:szCs w:val="20"/>
        </w:rPr>
      </w:pPr>
      <w:r w:rsidRPr="00944BC7">
        <w:rPr>
          <w:rFonts w:eastAsia="Times New Roman"/>
          <w:color w:val="000000" w:themeColor="text1"/>
          <w:sz w:val="20"/>
          <w:szCs w:val="20"/>
        </w:rPr>
        <w:t>Согласно член 12 став 1 точка  42-а)  од Законот за данокот на личен доход (“Сл весник на РМ” бр.241/18 и “Сл весник на РСМ” 275/19......274/22 во понатамошниот текст ЗДЛД), јасно е дефинирано дека данок на личен доход не се плаќа за надоместоци на трошоци за хотелско сместување (со категорија до четири звездички) во износ најмногу до 6.000 денари дневно и надоместоци на трошоци за превоз на лица кои не се вработени кај исплатувачот, а се ангажирани во функција на дејноста на исплатувачот (во земјата и во странство), врз основа на документирани докази за направените трошоци, извештај за ангажманот и документи за основаноста на ангажманот (покана, агенда, програма, договор, работен налог и сл.) и со потврден временски редослед меѓу сместувањето, превозот и извршената работа, се ослободени од плаќање на данок на личен доход.</w:t>
      </w:r>
    </w:p>
    <w:p w14:paraId="64B5FEB0" w14:textId="77777777" w:rsidR="00544608" w:rsidRPr="00944BC7" w:rsidRDefault="00544608" w:rsidP="00544608">
      <w:pPr>
        <w:shd w:val="clear" w:color="auto" w:fill="FFFFFF"/>
        <w:rPr>
          <w:rFonts w:eastAsia="Times New Roman"/>
          <w:color w:val="000000" w:themeColor="text1"/>
          <w:sz w:val="20"/>
          <w:szCs w:val="20"/>
        </w:rPr>
      </w:pPr>
      <w:r w:rsidRPr="00944BC7">
        <w:rPr>
          <w:rFonts w:eastAsia="Times New Roman"/>
          <w:color w:val="000000" w:themeColor="text1"/>
          <w:sz w:val="20"/>
          <w:szCs w:val="20"/>
        </w:rPr>
        <w:t>Согласно горенаведеното, за платените надоместоци за хотелско сместување и превоз за ангажирани лица кои не се вработени кај исплатувачот (во конкртениот случај Министерството за здраство), а се ангажирани во функција на дејноста на исплатувачот, истиот нема обврска да пресмета и плати данок на личен доход доколку се исполнети условите од член 12 став 1 точка 42-а) од ЗДЛД, односно доколку се обезбедени документирани докази за направените трошоци, извештај за ангажманот и документи за основаноста на ангажманот (покана, агенда, програма, договор, работен налог и сл.) и со потврден временски редослед меѓу сместувањето, превозот и извршената работа.</w:t>
      </w:r>
    </w:p>
    <w:p w14:paraId="34F8913C" w14:textId="77777777" w:rsidR="00544608" w:rsidRPr="00944BC7" w:rsidRDefault="00544608" w:rsidP="00544608">
      <w:pPr>
        <w:rPr>
          <w:rFonts w:eastAsia="Times New Roman"/>
          <w:color w:val="000000" w:themeColor="text1"/>
          <w:sz w:val="20"/>
          <w:szCs w:val="20"/>
        </w:rPr>
      </w:pPr>
    </w:p>
    <w:p w14:paraId="3EE888D5" w14:textId="77777777" w:rsidR="00544608" w:rsidRPr="00944BC7" w:rsidRDefault="00544608" w:rsidP="00544608">
      <w:pPr>
        <w:rPr>
          <w:rFonts w:eastAsia="Times New Roman"/>
          <w:color w:val="000000" w:themeColor="text1"/>
          <w:sz w:val="20"/>
          <w:szCs w:val="20"/>
        </w:rPr>
      </w:pPr>
      <w:r w:rsidRPr="00944BC7">
        <w:rPr>
          <w:rFonts w:eastAsia="Times New Roman"/>
          <w:color w:val="000000" w:themeColor="text1"/>
          <w:sz w:val="20"/>
          <w:szCs w:val="20"/>
        </w:rPr>
        <w:t>Што се однесува за исплатата на дневницата за службено патување, Ве известуваме дека согласно 15 став 1 точка 16) од ЗДЛД, за доход од работа се смета и секој поединечно остварен доход врз основа на договор за повремено или привремено вршење услуги на правни и физички лица.</w:t>
      </w:r>
    </w:p>
    <w:p w14:paraId="79D62BA4" w14:textId="77777777" w:rsidR="00544608" w:rsidRPr="00944BC7" w:rsidRDefault="00544608" w:rsidP="00544608">
      <w:pPr>
        <w:rPr>
          <w:rFonts w:eastAsia="Times New Roman"/>
          <w:color w:val="000000" w:themeColor="text1"/>
          <w:sz w:val="20"/>
          <w:szCs w:val="20"/>
        </w:rPr>
      </w:pPr>
      <w:r w:rsidRPr="00944BC7">
        <w:rPr>
          <w:rFonts w:eastAsia="Times New Roman"/>
          <w:color w:val="000000" w:themeColor="text1"/>
          <w:sz w:val="20"/>
          <w:szCs w:val="20"/>
        </w:rPr>
        <w:t>Основа за пресметување на данокот на личен доход за доходот од член 15 став 1 точка 16) од ЗДЛД,  претставува износот на примањето, надоместокот.</w:t>
      </w:r>
    </w:p>
    <w:p w14:paraId="285531BC" w14:textId="77777777" w:rsidR="00544608" w:rsidRPr="00944BC7" w:rsidRDefault="00544608" w:rsidP="00544608">
      <w:pPr>
        <w:rPr>
          <w:rFonts w:eastAsia="Times New Roman"/>
          <w:color w:val="000000" w:themeColor="text1"/>
          <w:sz w:val="20"/>
          <w:szCs w:val="20"/>
        </w:rPr>
      </w:pPr>
    </w:p>
    <w:p w14:paraId="6761B636" w14:textId="77777777" w:rsidR="00544608" w:rsidRPr="00944BC7" w:rsidRDefault="00544608" w:rsidP="00544608">
      <w:pPr>
        <w:rPr>
          <w:rFonts w:eastAsia="Times New Roman"/>
          <w:color w:val="000000" w:themeColor="text1"/>
          <w:sz w:val="20"/>
          <w:szCs w:val="20"/>
        </w:rPr>
      </w:pPr>
      <w:r w:rsidRPr="00944BC7">
        <w:rPr>
          <w:rFonts w:eastAsia="Times New Roman"/>
          <w:color w:val="000000" w:themeColor="text1"/>
          <w:sz w:val="20"/>
          <w:szCs w:val="20"/>
        </w:rPr>
        <w:t>Според напред наведените одредби, во случаите кога станува збор за исплатата на надомест за патување за лица кои не се во редовен работен однос кај исплатувачот (Министерството за здраство),  исплатувачот има обврска да пресмета и задржи данок на личен доход согласно член 15 став 1 точка 16) и член 16 став 1 точка 5) од ЗДЛД.</w:t>
      </w:r>
    </w:p>
    <w:p w14:paraId="2A98294F" w14:textId="77777777" w:rsidR="00544608" w:rsidRPr="00944BC7" w:rsidRDefault="00544608" w:rsidP="00544608">
      <w:pPr>
        <w:tabs>
          <w:tab w:val="left" w:pos="655"/>
        </w:tabs>
        <w:overflowPunct w:val="0"/>
        <w:autoSpaceDE w:val="0"/>
        <w:autoSpaceDN w:val="0"/>
        <w:adjustRightInd w:val="0"/>
        <w:textAlignment w:val="baseline"/>
        <w:rPr>
          <w:rFonts w:eastAsia="Times New Roman"/>
          <w:color w:val="000000" w:themeColor="text1"/>
          <w:sz w:val="20"/>
          <w:szCs w:val="20"/>
        </w:rPr>
      </w:pPr>
      <w:r w:rsidRPr="00944BC7">
        <w:rPr>
          <w:rFonts w:eastAsia="Times New Roman"/>
          <w:color w:val="000000" w:themeColor="text1"/>
          <w:sz w:val="20"/>
          <w:szCs w:val="20"/>
        </w:rPr>
        <w:t>Според член 80 став 1 точка 1) од ЗДЛД, аконтација на данокот на доход се плаќа по одбивка, односно исплатувачот на доходот го пресметува, задржува и плаќа данокот на доход за обврзникот при секоја исплата и за доход од работа.</w:t>
      </w:r>
    </w:p>
    <w:p w14:paraId="2A75808F" w14:textId="77777777" w:rsidR="00544608" w:rsidRPr="00944BC7" w:rsidRDefault="00544608" w:rsidP="00544608">
      <w:pPr>
        <w:tabs>
          <w:tab w:val="left" w:pos="655"/>
        </w:tabs>
        <w:overflowPunct w:val="0"/>
        <w:autoSpaceDE w:val="0"/>
        <w:autoSpaceDN w:val="0"/>
        <w:adjustRightInd w:val="0"/>
        <w:textAlignment w:val="baseline"/>
        <w:rPr>
          <w:rFonts w:eastAsia="Times New Roman"/>
          <w:color w:val="000000" w:themeColor="text1"/>
          <w:sz w:val="20"/>
          <w:szCs w:val="20"/>
        </w:rPr>
      </w:pPr>
      <w:r w:rsidRPr="00944BC7">
        <w:rPr>
          <w:rFonts w:eastAsia="Times New Roman"/>
          <w:color w:val="000000" w:themeColor="text1"/>
          <w:sz w:val="20"/>
          <w:szCs w:val="20"/>
        </w:rPr>
        <w:t>Согласно член 84 од ЗДЛД, аконтација на данокот на доход  од член 80 став 1 точка 1) од ЗДЛД пресметува исплатувачот за секој обврзник и за секој поединечно исплатен доход.</w:t>
      </w:r>
    </w:p>
    <w:p w14:paraId="78D1C503" w14:textId="77777777" w:rsidR="00544608" w:rsidRPr="00944BC7" w:rsidRDefault="00544608" w:rsidP="00544608">
      <w:pPr>
        <w:tabs>
          <w:tab w:val="left" w:pos="655"/>
        </w:tabs>
        <w:overflowPunct w:val="0"/>
        <w:autoSpaceDE w:val="0"/>
        <w:autoSpaceDN w:val="0"/>
        <w:adjustRightInd w:val="0"/>
        <w:textAlignment w:val="baseline"/>
        <w:rPr>
          <w:rFonts w:eastAsia="Times New Roman"/>
          <w:color w:val="000000" w:themeColor="text1"/>
          <w:sz w:val="20"/>
          <w:szCs w:val="20"/>
        </w:rPr>
      </w:pPr>
      <w:r w:rsidRPr="00944BC7">
        <w:rPr>
          <w:rFonts w:eastAsia="Times New Roman"/>
          <w:color w:val="000000" w:themeColor="text1"/>
          <w:sz w:val="20"/>
          <w:szCs w:val="20"/>
        </w:rPr>
        <w:t>Според член 85 од ЗДЛД, исплатувачот пред секоја исплата на доходот на кои аконтацијата на данокот се плаќа по одбивка, е должен до органот за јавни приходи да достави пресметка за бруто доходот, одбитоците, пресметаниот данок по одбивка и нето-доход за исплата, за секој обврзник поединечно.</w:t>
      </w:r>
    </w:p>
    <w:p w14:paraId="228006D8" w14:textId="77777777" w:rsidR="00544608" w:rsidRPr="00135C38" w:rsidRDefault="00544608" w:rsidP="00544608">
      <w:pPr>
        <w:overflowPunct w:val="0"/>
        <w:autoSpaceDE w:val="0"/>
        <w:autoSpaceDN w:val="0"/>
        <w:adjustRightInd w:val="0"/>
        <w:textAlignment w:val="baseline"/>
        <w:rPr>
          <w:rFonts w:eastAsia="Times New Roman"/>
          <w:color w:val="000000" w:themeColor="text1"/>
          <w:sz w:val="20"/>
          <w:szCs w:val="20"/>
        </w:rPr>
      </w:pPr>
      <w:r w:rsidRPr="00944BC7">
        <w:rPr>
          <w:rFonts w:eastAsia="Times New Roman"/>
          <w:color w:val="000000" w:themeColor="text1"/>
          <w:sz w:val="20"/>
          <w:szCs w:val="20"/>
        </w:rPr>
        <w:t>Согласно член 92 став 1 од ЗДЛД, исплатувачот на доходот од член 80 од овој закон за кој аконтацијата на данокот се плаќа по одбивка е должен задржаниот данок да го уплати при секоја поединечна исплата.</w:t>
      </w:r>
    </w:p>
    <w:p w14:paraId="76914CEE" w14:textId="66720569" w:rsidR="00301F66" w:rsidRPr="00544608" w:rsidRDefault="00301F66" w:rsidP="00544608"/>
    <w:sectPr w:rsidR="00301F66" w:rsidRPr="00544608"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7839A9" w14:textId="77777777" w:rsidR="005B24F7" w:rsidRPr="00C567EE" w:rsidRDefault="005B24F7" w:rsidP="00805345">
      <w:r w:rsidRPr="00C567EE">
        <w:separator/>
      </w:r>
    </w:p>
  </w:endnote>
  <w:endnote w:type="continuationSeparator" w:id="0">
    <w:p w14:paraId="4297AF6B" w14:textId="77777777" w:rsidR="005B24F7" w:rsidRPr="00C567EE" w:rsidRDefault="005B24F7"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FB3F8" w14:textId="77777777" w:rsidR="005B24F7" w:rsidRPr="00C567EE" w:rsidRDefault="005B24F7" w:rsidP="00805345">
      <w:r w:rsidRPr="00C567EE">
        <w:separator/>
      </w:r>
    </w:p>
  </w:footnote>
  <w:footnote w:type="continuationSeparator" w:id="0">
    <w:p w14:paraId="490FA4E2" w14:textId="77777777" w:rsidR="005B24F7" w:rsidRPr="00C567EE" w:rsidRDefault="005B24F7"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1"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5"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6"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8"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4"/>
  </w:num>
  <w:num w:numId="2" w16cid:durableId="1900096440">
    <w:abstractNumId w:val="30"/>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7"/>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2"/>
  </w:num>
  <w:num w:numId="13" w16cid:durableId="714353434">
    <w:abstractNumId w:val="15"/>
  </w:num>
  <w:num w:numId="14" w16cid:durableId="1341006038">
    <w:abstractNumId w:val="12"/>
  </w:num>
  <w:num w:numId="15" w16cid:durableId="788474779">
    <w:abstractNumId w:val="2"/>
  </w:num>
  <w:num w:numId="16" w16cid:durableId="639068706">
    <w:abstractNumId w:val="29"/>
  </w:num>
  <w:num w:numId="17" w16cid:durableId="479928752">
    <w:abstractNumId w:val="1"/>
  </w:num>
  <w:num w:numId="18" w16cid:durableId="2018384905">
    <w:abstractNumId w:val="25"/>
  </w:num>
  <w:num w:numId="19" w16cid:durableId="2136213879">
    <w:abstractNumId w:val="3"/>
  </w:num>
  <w:num w:numId="20" w16cid:durableId="694765918">
    <w:abstractNumId w:val="31"/>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3"/>
  </w:num>
  <w:num w:numId="26" w16cid:durableId="1199777193">
    <w:abstractNumId w:val="42"/>
  </w:num>
  <w:num w:numId="27" w16cid:durableId="444814318">
    <w:abstractNumId w:val="10"/>
  </w:num>
  <w:num w:numId="28" w16cid:durableId="198933697">
    <w:abstractNumId w:val="27"/>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6"/>
  </w:num>
  <w:num w:numId="34" w16cid:durableId="382213961">
    <w:abstractNumId w:val="41"/>
  </w:num>
  <w:num w:numId="35" w16cid:durableId="29001757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5"/>
  </w:num>
  <w:num w:numId="37" w16cid:durableId="1322738061">
    <w:abstractNumId w:val="19"/>
  </w:num>
  <w:num w:numId="38" w16cid:durableId="1951744169">
    <w:abstractNumId w:val="26"/>
  </w:num>
  <w:num w:numId="39" w16cid:durableId="134378012">
    <w:abstractNumId w:val="40"/>
  </w:num>
  <w:num w:numId="40" w16cid:durableId="956259968">
    <w:abstractNumId w:val="38"/>
  </w:num>
  <w:num w:numId="41" w16cid:durableId="286551664">
    <w:abstractNumId w:val="0"/>
  </w:num>
  <w:num w:numId="42" w16cid:durableId="1901164002">
    <w:abstractNumId w:val="16"/>
  </w:num>
  <w:num w:numId="43" w16cid:durableId="1817986883">
    <w:abstractNumId w:val="2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24F7"/>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484</Words>
  <Characters>2765</Characters>
  <Application>Microsoft Office Word</Application>
  <DocSecurity>0</DocSecurity>
  <Lines>23</Lines>
  <Paragraphs>6</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3243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2025-10-22T12:31:00Z</dcterms:created>
  <dcterms:modified xsi:type="dcterms:W3CDTF">2025-10-22T12:31:00Z</dcterms:modified>
</cp:coreProperties>
</file>