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C642D" w14:textId="77777777" w:rsidR="00980BDE" w:rsidRPr="000835F2" w:rsidRDefault="00980BDE" w:rsidP="00980BDE">
      <w:pPr>
        <w:spacing w:before="120" w:after="120"/>
        <w:rPr>
          <w:rFonts w:eastAsia="Times New Roman"/>
          <w:b/>
          <w:bCs/>
          <w:color w:val="auto"/>
          <w:sz w:val="20"/>
          <w:szCs w:val="20"/>
        </w:rPr>
      </w:pPr>
      <w:r w:rsidRPr="000835F2">
        <w:rPr>
          <w:rFonts w:eastAsia="Times New Roman"/>
          <w:b/>
          <w:bCs/>
          <w:color w:val="auto"/>
          <w:sz w:val="20"/>
          <w:szCs w:val="20"/>
        </w:rPr>
        <w:t>МИСЛЕЊЕ од 29.03.2024:</w:t>
      </w:r>
    </w:p>
    <w:p w14:paraId="6B3BF7E0" w14:textId="77777777" w:rsidR="00980BDE" w:rsidRPr="000835F2" w:rsidRDefault="00980BDE" w:rsidP="00980BDE">
      <w:pPr>
        <w:spacing w:before="120" w:after="120"/>
        <w:rPr>
          <w:noProof w:val="0"/>
          <w:color w:val="auto"/>
          <w:sz w:val="20"/>
          <w:szCs w:val="20"/>
        </w:rPr>
      </w:pPr>
    </w:p>
    <w:p w14:paraId="76A12AEE" w14:textId="77777777" w:rsidR="00980BDE" w:rsidRPr="000835F2" w:rsidRDefault="00980BDE" w:rsidP="00980BDE">
      <w:pPr>
        <w:spacing w:before="120" w:after="120"/>
        <w:rPr>
          <w:rFonts w:eastAsia="Times New Roman"/>
          <w:b/>
          <w:bCs/>
          <w:color w:val="auto"/>
          <w:sz w:val="20"/>
          <w:szCs w:val="20"/>
        </w:rPr>
      </w:pPr>
      <w:r w:rsidRPr="000835F2">
        <w:rPr>
          <w:noProof w:val="0"/>
          <w:color w:val="auto"/>
          <w:sz w:val="20"/>
          <w:szCs w:val="20"/>
        </w:rPr>
        <w:t>Почитувани,</w:t>
      </w:r>
    </w:p>
    <w:p w14:paraId="1FF8F5A8"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        </w:t>
      </w:r>
    </w:p>
    <w:p w14:paraId="2CF4F7FD"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Во врска со поставените прашања, Управата за јавни приходи - Генерална дирекција Скопје го дава следниот одговор:</w:t>
      </w:r>
    </w:p>
    <w:p w14:paraId="4CDA631A"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w:t>
      </w:r>
      <w:proofErr w:type="spellStart"/>
      <w:r w:rsidRPr="000835F2">
        <w:rPr>
          <w:noProof w:val="0"/>
          <w:color w:val="auto"/>
          <w:sz w:val="20"/>
          <w:szCs w:val="20"/>
        </w:rPr>
        <w:t>Сл</w:t>
      </w:r>
      <w:proofErr w:type="spellEnd"/>
      <w:r w:rsidRPr="000835F2">
        <w:rPr>
          <w:noProof w:val="0"/>
          <w:color w:val="auto"/>
          <w:sz w:val="20"/>
          <w:szCs w:val="20"/>
        </w:rPr>
        <w:t xml:space="preserve"> весник на РСМ” број 275/19……274/22,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7118AD24"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На ода</w:t>
      </w:r>
      <w:r w:rsidRPr="000835F2">
        <w:rPr>
          <w:noProof w:val="0"/>
          <w:color w:val="auto"/>
          <w:sz w:val="20"/>
          <w:szCs w:val="20"/>
        </w:rPr>
        <w:softHyphen/>
        <w:t>но</w:t>
      </w:r>
      <w:r w:rsidRPr="000835F2">
        <w:rPr>
          <w:noProof w:val="0"/>
          <w:color w:val="auto"/>
          <w:sz w:val="20"/>
          <w:szCs w:val="20"/>
        </w:rPr>
        <w:softHyphen/>
        <w:t>чу</w:t>
      </w:r>
      <w:r w:rsidRPr="000835F2">
        <w:rPr>
          <w:noProof w:val="0"/>
          <w:color w:val="auto"/>
          <w:sz w:val="20"/>
          <w:szCs w:val="20"/>
        </w:rPr>
        <w:softHyphen/>
        <w:t>ва</w:t>
      </w:r>
      <w:r w:rsidRPr="000835F2">
        <w:rPr>
          <w:noProof w:val="0"/>
          <w:color w:val="auto"/>
          <w:sz w:val="20"/>
          <w:szCs w:val="20"/>
        </w:rPr>
        <w:softHyphen/>
        <w:t>ње под</w:t>
      </w:r>
      <w:r w:rsidRPr="000835F2">
        <w:rPr>
          <w:noProof w:val="0"/>
          <w:color w:val="auto"/>
          <w:sz w:val="20"/>
          <w:szCs w:val="20"/>
        </w:rPr>
        <w:softHyphen/>
        <w:t>ле</w:t>
      </w:r>
      <w:r w:rsidRPr="000835F2">
        <w:rPr>
          <w:noProof w:val="0"/>
          <w:color w:val="auto"/>
          <w:sz w:val="20"/>
          <w:szCs w:val="20"/>
        </w:rPr>
        <w:softHyphen/>
        <w:t>жат си</w:t>
      </w:r>
      <w:r w:rsidRPr="000835F2">
        <w:rPr>
          <w:noProof w:val="0"/>
          <w:color w:val="auto"/>
          <w:sz w:val="20"/>
          <w:szCs w:val="20"/>
        </w:rPr>
        <w:softHyphen/>
        <w:t>те при</w:t>
      </w:r>
      <w:r w:rsidRPr="000835F2">
        <w:rPr>
          <w:noProof w:val="0"/>
          <w:color w:val="auto"/>
          <w:sz w:val="20"/>
          <w:szCs w:val="20"/>
        </w:rPr>
        <w:softHyphen/>
        <w:t>хо</w:t>
      </w:r>
      <w:r w:rsidRPr="000835F2">
        <w:rPr>
          <w:noProof w:val="0"/>
          <w:color w:val="auto"/>
          <w:sz w:val="20"/>
          <w:szCs w:val="20"/>
        </w:rPr>
        <w:softHyphen/>
        <w:t>ди што се ос</w:t>
      </w:r>
      <w:r w:rsidRPr="000835F2">
        <w:rPr>
          <w:noProof w:val="0"/>
          <w:color w:val="auto"/>
          <w:sz w:val="20"/>
          <w:szCs w:val="20"/>
        </w:rPr>
        <w:softHyphen/>
        <w:t>тва</w:t>
      </w:r>
      <w:r w:rsidRPr="000835F2">
        <w:rPr>
          <w:noProof w:val="0"/>
          <w:color w:val="auto"/>
          <w:sz w:val="20"/>
          <w:szCs w:val="20"/>
        </w:rPr>
        <w:softHyphen/>
        <w:t>ре</w:t>
      </w:r>
      <w:r w:rsidRPr="000835F2">
        <w:rPr>
          <w:noProof w:val="0"/>
          <w:color w:val="auto"/>
          <w:sz w:val="20"/>
          <w:szCs w:val="20"/>
        </w:rPr>
        <w:softHyphen/>
        <w:t>ни во па</w:t>
      </w:r>
      <w:r w:rsidRPr="000835F2">
        <w:rPr>
          <w:noProof w:val="0"/>
          <w:color w:val="auto"/>
          <w:sz w:val="20"/>
          <w:szCs w:val="20"/>
        </w:rPr>
        <w:softHyphen/>
        <w:t>ри, хар</w:t>
      </w:r>
      <w:r w:rsidRPr="000835F2">
        <w:rPr>
          <w:noProof w:val="0"/>
          <w:color w:val="auto"/>
          <w:sz w:val="20"/>
          <w:szCs w:val="20"/>
        </w:rPr>
        <w:softHyphen/>
        <w:t>тии од вред</w:t>
      </w:r>
      <w:r w:rsidRPr="000835F2">
        <w:rPr>
          <w:noProof w:val="0"/>
          <w:color w:val="auto"/>
          <w:sz w:val="20"/>
          <w:szCs w:val="20"/>
        </w:rPr>
        <w:softHyphen/>
        <w:t>ност, во на</w:t>
      </w:r>
      <w:r w:rsidRPr="000835F2">
        <w:rPr>
          <w:noProof w:val="0"/>
          <w:color w:val="auto"/>
          <w:sz w:val="20"/>
          <w:szCs w:val="20"/>
        </w:rPr>
        <w:softHyphen/>
        <w:t>ту</w:t>
      </w:r>
      <w:r w:rsidRPr="000835F2">
        <w:rPr>
          <w:noProof w:val="0"/>
          <w:color w:val="auto"/>
          <w:sz w:val="20"/>
          <w:szCs w:val="20"/>
        </w:rPr>
        <w:softHyphen/>
        <w:t>ра, или во не</w:t>
      </w:r>
      <w:r w:rsidRPr="000835F2">
        <w:rPr>
          <w:noProof w:val="0"/>
          <w:color w:val="auto"/>
          <w:sz w:val="20"/>
          <w:szCs w:val="20"/>
        </w:rPr>
        <w:softHyphen/>
        <w:t>кој друг вид.</w:t>
      </w:r>
    </w:p>
    <w:p w14:paraId="5AB72FF8"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Според член 20 од ЗДЛД, обврзник на данокот на доходот од самостојна дејност е трговец поединец, физичко лице кое врши земјоделска дејност, лице кое врши занаетчиска дејност и лице кое врши услуги, кое остварува доход од вршење дејност од членот 19 на овој закон.</w:t>
      </w:r>
    </w:p>
    <w:p w14:paraId="40B81A88" w14:textId="77777777" w:rsidR="00980BDE" w:rsidRPr="000835F2" w:rsidRDefault="00980BDE" w:rsidP="00980BDE">
      <w:pPr>
        <w:spacing w:before="120" w:after="120"/>
        <w:rPr>
          <w:noProof w:val="0"/>
          <w:color w:val="auto"/>
          <w:sz w:val="20"/>
          <w:szCs w:val="20"/>
        </w:rPr>
      </w:pPr>
      <w:r w:rsidRPr="000835F2">
        <w:rPr>
          <w:rFonts w:cs="TimesNewRomanPSMT"/>
          <w:noProof w:val="0"/>
          <w:color w:val="auto"/>
          <w:sz w:val="20"/>
          <w:szCs w:val="20"/>
        </w:rPr>
        <w:t xml:space="preserve">Според член 90 од ЗДЛД, </w:t>
      </w:r>
      <w:proofErr w:type="spellStart"/>
      <w:r w:rsidRPr="000835F2">
        <w:rPr>
          <w:rFonts w:cs="TimesNewRomanPSMT"/>
          <w:noProof w:val="0"/>
          <w:color w:val="auto"/>
          <w:sz w:val="20"/>
          <w:szCs w:val="20"/>
        </w:rPr>
        <w:t>аконтацијата</w:t>
      </w:r>
      <w:proofErr w:type="spellEnd"/>
      <w:r w:rsidRPr="000835F2">
        <w:rPr>
          <w:rFonts w:cs="TimesNewRomanPSMT"/>
          <w:noProof w:val="0"/>
          <w:color w:val="auto"/>
          <w:sz w:val="20"/>
          <w:szCs w:val="20"/>
        </w:rPr>
        <w:t xml:space="preserve"> на данок на доход за доходот остварен од обврзник кој врши самостојна дејност и се оданочува според вистински доход во тековната година, ја пресметува обврзникот врз основа на податоците од годишниот даночен биланс за претходната година.</w:t>
      </w:r>
    </w:p>
    <w:p w14:paraId="71DE9A49"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 Месечната аконтација на данок на доход за самостојна дејност се плаќа во износ од </w:t>
      </w:r>
      <w:proofErr w:type="spellStart"/>
      <w:r w:rsidRPr="000835F2">
        <w:rPr>
          <w:noProof w:val="0"/>
          <w:color w:val="auto"/>
          <w:sz w:val="20"/>
          <w:szCs w:val="20"/>
        </w:rPr>
        <w:t>еднa</w:t>
      </w:r>
      <w:proofErr w:type="spellEnd"/>
      <w:r w:rsidRPr="000835F2">
        <w:rPr>
          <w:noProof w:val="0"/>
          <w:color w:val="auto"/>
          <w:sz w:val="20"/>
          <w:szCs w:val="20"/>
          <w:lang w:eastAsia="fi-FI"/>
        </w:rPr>
        <w:t xml:space="preserve"> </w:t>
      </w:r>
      <w:r w:rsidRPr="000835F2">
        <w:rPr>
          <w:noProof w:val="0"/>
          <w:color w:val="auto"/>
          <w:sz w:val="20"/>
          <w:szCs w:val="20"/>
        </w:rPr>
        <w:t>дванаесеттина од пресметаниот данок во годишниот даночен биланс, за претходната година. Месечната аконтација на данок на доход се плаќа до 15-ти во тековниот за претходниот месец.</w:t>
      </w:r>
    </w:p>
    <w:p w14:paraId="03D1DC48"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Основа за пресметување на данокот на доход од самостојна дејност е разликата меѓу вкупните приходи и вкупните расходи на обврзникот, зголемена за непризнаените расходи за даночни цели (член 21 од ЗДЛД)</w:t>
      </w:r>
    </w:p>
    <w:p w14:paraId="24FC7014"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Даночната основа на обврзниците од член 20 од ЗДЛД, се утврдува врз основа на одредбите од член 23 до член 28 од ЗДЛД, во кои се наведени расходите кои  се признаваат како </w:t>
      </w:r>
      <w:proofErr w:type="spellStart"/>
      <w:r w:rsidRPr="000835F2">
        <w:rPr>
          <w:noProof w:val="0"/>
          <w:color w:val="auto"/>
          <w:sz w:val="20"/>
          <w:szCs w:val="20"/>
        </w:rPr>
        <w:t>одбитна</w:t>
      </w:r>
      <w:proofErr w:type="spellEnd"/>
      <w:r w:rsidRPr="000835F2">
        <w:rPr>
          <w:noProof w:val="0"/>
          <w:color w:val="auto"/>
          <w:sz w:val="20"/>
          <w:szCs w:val="20"/>
        </w:rPr>
        <w:t xml:space="preserve"> ставка во даночниот биланс, во членот 27 од ЗДЛД каде се наведени рас</w:t>
      </w:r>
      <w:r w:rsidRPr="000835F2">
        <w:rPr>
          <w:noProof w:val="0"/>
          <w:color w:val="auto"/>
          <w:sz w:val="20"/>
          <w:szCs w:val="20"/>
        </w:rPr>
        <w:softHyphen/>
        <w:t>хо</w:t>
      </w:r>
      <w:r w:rsidRPr="000835F2">
        <w:rPr>
          <w:noProof w:val="0"/>
          <w:color w:val="auto"/>
          <w:sz w:val="20"/>
          <w:szCs w:val="20"/>
        </w:rPr>
        <w:softHyphen/>
        <w:t>ди</w:t>
      </w:r>
      <w:r w:rsidRPr="000835F2">
        <w:rPr>
          <w:noProof w:val="0"/>
          <w:color w:val="auto"/>
          <w:sz w:val="20"/>
          <w:szCs w:val="20"/>
        </w:rPr>
        <w:softHyphen/>
        <w:t>те кои во да</w:t>
      </w:r>
      <w:r w:rsidRPr="000835F2">
        <w:rPr>
          <w:noProof w:val="0"/>
          <w:color w:val="auto"/>
          <w:sz w:val="20"/>
          <w:szCs w:val="20"/>
        </w:rPr>
        <w:softHyphen/>
        <w:t>ноч</w:t>
      </w:r>
      <w:r w:rsidRPr="000835F2">
        <w:rPr>
          <w:noProof w:val="0"/>
          <w:color w:val="auto"/>
          <w:sz w:val="20"/>
          <w:szCs w:val="20"/>
        </w:rPr>
        <w:softHyphen/>
        <w:t>ни</w:t>
      </w:r>
      <w:r w:rsidRPr="000835F2">
        <w:rPr>
          <w:noProof w:val="0"/>
          <w:color w:val="auto"/>
          <w:sz w:val="20"/>
          <w:szCs w:val="20"/>
        </w:rPr>
        <w:softHyphen/>
        <w:t>от би</w:t>
      </w:r>
      <w:r w:rsidRPr="000835F2">
        <w:rPr>
          <w:noProof w:val="0"/>
          <w:color w:val="auto"/>
          <w:sz w:val="20"/>
          <w:szCs w:val="20"/>
        </w:rPr>
        <w:softHyphen/>
        <w:t>ланс не се приз</w:t>
      </w:r>
      <w:r w:rsidRPr="000835F2">
        <w:rPr>
          <w:noProof w:val="0"/>
          <w:color w:val="auto"/>
          <w:sz w:val="20"/>
          <w:szCs w:val="20"/>
        </w:rPr>
        <w:softHyphen/>
        <w:t>на</w:t>
      </w:r>
      <w:r w:rsidRPr="000835F2">
        <w:rPr>
          <w:noProof w:val="0"/>
          <w:color w:val="auto"/>
          <w:sz w:val="20"/>
          <w:szCs w:val="20"/>
        </w:rPr>
        <w:softHyphen/>
        <w:t>ва</w:t>
      </w:r>
      <w:r w:rsidRPr="000835F2">
        <w:rPr>
          <w:noProof w:val="0"/>
          <w:color w:val="auto"/>
          <w:sz w:val="20"/>
          <w:szCs w:val="20"/>
        </w:rPr>
        <w:softHyphen/>
        <w:t xml:space="preserve">ат како </w:t>
      </w:r>
      <w:proofErr w:type="spellStart"/>
      <w:r w:rsidRPr="000835F2">
        <w:rPr>
          <w:noProof w:val="0"/>
          <w:color w:val="auto"/>
          <w:sz w:val="20"/>
          <w:szCs w:val="20"/>
        </w:rPr>
        <w:t>одбитна</w:t>
      </w:r>
      <w:proofErr w:type="spellEnd"/>
      <w:r w:rsidRPr="000835F2">
        <w:rPr>
          <w:noProof w:val="0"/>
          <w:color w:val="auto"/>
          <w:sz w:val="20"/>
          <w:szCs w:val="20"/>
        </w:rPr>
        <w:t xml:space="preserve"> ставка, и во членот 28 од ЗДЛД  во кој се наведени даночните олеснувања и ослободувања.</w:t>
      </w:r>
    </w:p>
    <w:p w14:paraId="03647268" w14:textId="77777777" w:rsidR="00980BDE" w:rsidRPr="000835F2" w:rsidRDefault="00980BDE" w:rsidP="00980BDE">
      <w:pPr>
        <w:spacing w:before="120" w:after="120"/>
        <w:rPr>
          <w:noProof w:val="0"/>
          <w:color w:val="auto"/>
          <w:sz w:val="20"/>
          <w:szCs w:val="20"/>
          <w:u w:val="single"/>
        </w:rPr>
      </w:pPr>
      <w:r w:rsidRPr="000835F2">
        <w:rPr>
          <w:noProof w:val="0"/>
          <w:color w:val="auto"/>
          <w:sz w:val="20"/>
          <w:szCs w:val="20"/>
        </w:rPr>
        <w:t xml:space="preserve"> </w:t>
      </w:r>
      <w:r w:rsidRPr="000835F2">
        <w:rPr>
          <w:noProof w:val="0"/>
          <w:color w:val="auto"/>
          <w:sz w:val="20"/>
          <w:szCs w:val="20"/>
          <w:u w:val="single"/>
        </w:rPr>
        <w:t>Согласно член 27 став 1 точка 17) од ЗДЛД, за непризнаени расходи за даночни цели се сметаат и други трошоци кои не се поврзани со вршење на дејноста на обврзникот кој остварува доход од самостојна дејност</w:t>
      </w:r>
      <w:r w:rsidRPr="000835F2">
        <w:rPr>
          <w:rFonts w:cs="TimesNewRomanPSMT"/>
          <w:noProof w:val="0"/>
          <w:color w:val="auto"/>
          <w:sz w:val="20"/>
          <w:szCs w:val="20"/>
          <w:u w:val="single"/>
        </w:rPr>
        <w:t>.</w:t>
      </w:r>
    </w:p>
    <w:p w14:paraId="3F85A9AB"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Обврзникот кој остварува доход од самостојна дејност и кој води деловни книги е должен, по истекот на годината за која се утврдува данокот, најдоцна до 15-ти март наредната година да поднесе годишна пресметка за искажаниот финансиски резултат и даночен биланс, согласно член 97 од ЗДЛД</w:t>
      </w:r>
    </w:p>
    <w:p w14:paraId="05CACD35"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 Согласно посочените одредби, доходот остварен од вршење на дејноста, трговецот поединец има обврска да </w:t>
      </w:r>
      <w:proofErr w:type="spellStart"/>
      <w:r w:rsidRPr="000835F2">
        <w:rPr>
          <w:noProof w:val="0"/>
          <w:color w:val="auto"/>
          <w:sz w:val="20"/>
          <w:szCs w:val="20"/>
        </w:rPr>
        <w:t>гo</w:t>
      </w:r>
      <w:proofErr w:type="spellEnd"/>
      <w:r w:rsidRPr="000835F2">
        <w:rPr>
          <w:noProof w:val="0"/>
          <w:color w:val="auto"/>
          <w:sz w:val="20"/>
          <w:szCs w:val="20"/>
        </w:rPr>
        <w:t xml:space="preserve"> искаже во годишната сметка заедно со направените расходи,  како и да ја искаже </w:t>
      </w:r>
      <w:r w:rsidRPr="000835F2">
        <w:rPr>
          <w:noProof w:val="0"/>
          <w:color w:val="auto"/>
          <w:sz w:val="20"/>
          <w:szCs w:val="20"/>
        </w:rPr>
        <w:lastRenderedPageBreak/>
        <w:t xml:space="preserve">разликата помеѓу истите, како нето доходот кој се оданочува со стапка од 10%  согласно член 11 од ЗДЛД.  </w:t>
      </w:r>
    </w:p>
    <w:p w14:paraId="502F13B0"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  Согласно член  100 од ЗДЛД, обврзникот на данокот на доход за доходот остварен од самостојна дејност е должен разликата  меѓу уплатената аконтација и пресметаниот данок на доход да ја уплати во рок од 15 дена од денот  на истекот на рокот за предавање на годишниот даночен биланс.</w:t>
      </w:r>
    </w:p>
    <w:p w14:paraId="391331F0" w14:textId="77777777" w:rsidR="00980BDE" w:rsidRPr="000835F2" w:rsidRDefault="00980BDE" w:rsidP="00980BDE">
      <w:pPr>
        <w:spacing w:before="120" w:after="120"/>
        <w:rPr>
          <w:rFonts w:cs="Times New Roman"/>
          <w:noProof w:val="0"/>
          <w:color w:val="auto"/>
          <w:sz w:val="20"/>
          <w:szCs w:val="20"/>
        </w:rPr>
      </w:pPr>
      <w:r w:rsidRPr="000835F2">
        <w:rPr>
          <w:noProof w:val="0"/>
          <w:color w:val="auto"/>
          <w:sz w:val="20"/>
          <w:szCs w:val="20"/>
        </w:rPr>
        <w:t xml:space="preserve"> Во своето работење трговецот поединец може да подига аванси од трансакциска сметка за покривање на трошоци на работењето и други трошоци кои не се поврзани со вршење на дејноста на обврзникот (член 27 став 1 точка 17 од законот) , при што износот на непокриени трошоци  претставува  предмет на оданочување со данок на доход остварен од вршење на  самостојна дејност согласно член 11 од ЗДЛД, односно </w:t>
      </w:r>
      <w:proofErr w:type="spellStart"/>
      <w:r w:rsidRPr="000835F2">
        <w:rPr>
          <w:noProof w:val="0"/>
          <w:color w:val="auto"/>
          <w:sz w:val="20"/>
          <w:szCs w:val="20"/>
        </w:rPr>
        <w:t>непокриените</w:t>
      </w:r>
      <w:proofErr w:type="spellEnd"/>
      <w:r w:rsidRPr="000835F2">
        <w:rPr>
          <w:noProof w:val="0"/>
          <w:color w:val="auto"/>
          <w:sz w:val="20"/>
          <w:szCs w:val="20"/>
        </w:rPr>
        <w:t xml:space="preserve"> трошоци ќе се </w:t>
      </w:r>
      <w:proofErr w:type="spellStart"/>
      <w:r w:rsidRPr="000835F2">
        <w:rPr>
          <w:noProof w:val="0"/>
          <w:color w:val="auto"/>
          <w:sz w:val="20"/>
          <w:szCs w:val="20"/>
        </w:rPr>
        <w:t>оданочат</w:t>
      </w:r>
      <w:proofErr w:type="spellEnd"/>
      <w:r w:rsidRPr="000835F2">
        <w:rPr>
          <w:noProof w:val="0"/>
          <w:color w:val="auto"/>
          <w:sz w:val="20"/>
          <w:szCs w:val="20"/>
        </w:rPr>
        <w:t xml:space="preserve"> преку Годишниот даночен биланс.</w:t>
      </w:r>
    </w:p>
    <w:p w14:paraId="306F865A" w14:textId="77777777" w:rsidR="00980BDE" w:rsidRPr="000835F2" w:rsidRDefault="00980BDE" w:rsidP="00980BDE">
      <w:pPr>
        <w:spacing w:before="120" w:after="120"/>
        <w:rPr>
          <w:rFonts w:cs="Times New Roman"/>
          <w:noProof w:val="0"/>
          <w:color w:val="auto"/>
          <w:sz w:val="20"/>
          <w:szCs w:val="20"/>
        </w:rPr>
      </w:pPr>
      <w:r w:rsidRPr="000835F2">
        <w:rPr>
          <w:noProof w:val="0"/>
          <w:color w:val="auto"/>
          <w:sz w:val="20"/>
          <w:szCs w:val="20"/>
        </w:rPr>
        <w:t xml:space="preserve">Така </w:t>
      </w:r>
      <w:proofErr w:type="spellStart"/>
      <w:r w:rsidRPr="000835F2">
        <w:rPr>
          <w:noProof w:val="0"/>
          <w:color w:val="auto"/>
          <w:sz w:val="20"/>
          <w:szCs w:val="20"/>
        </w:rPr>
        <w:t>непокриениот</w:t>
      </w:r>
      <w:proofErr w:type="spellEnd"/>
      <w:r w:rsidRPr="000835F2">
        <w:rPr>
          <w:noProof w:val="0"/>
          <w:color w:val="auto"/>
          <w:sz w:val="20"/>
          <w:szCs w:val="20"/>
        </w:rPr>
        <w:t xml:space="preserve"> износ се искажува во Даночниот биланс како Расходи што не се признаваат за даночни цели на реден број 18 Други усогласувања на расходите, АОП 21.</w:t>
      </w:r>
    </w:p>
    <w:p w14:paraId="4181ED15" w14:textId="77777777" w:rsidR="00980BDE" w:rsidRPr="000835F2" w:rsidRDefault="00980BDE" w:rsidP="00980BDE">
      <w:pPr>
        <w:spacing w:before="120" w:after="120"/>
        <w:rPr>
          <w:rFonts w:cs="Times New Roman"/>
          <w:noProof w:val="0"/>
          <w:color w:val="auto"/>
          <w:sz w:val="20"/>
          <w:szCs w:val="20"/>
        </w:rPr>
      </w:pPr>
      <w:r w:rsidRPr="000835F2">
        <w:rPr>
          <w:noProof w:val="0"/>
          <w:color w:val="auto"/>
          <w:sz w:val="20"/>
          <w:szCs w:val="20"/>
        </w:rPr>
        <w:t>Ако вршителот на самостојна дејност искаже негативен финансиски резултат (загуба) во годината во која се подигнати средствата за лични потреби, истиот има обврска да пресмета, задржи и плати данок на доход на износот еднаков на искажаната загуба, но најмногу до износот на така подигнатите парични средства со  поднесување на електронска пресметка до органот за јавни приходи.</w:t>
      </w:r>
    </w:p>
    <w:p w14:paraId="307115EC" w14:textId="77777777" w:rsidR="00980BDE" w:rsidRPr="000835F2" w:rsidRDefault="00980BDE" w:rsidP="00980BDE">
      <w:pPr>
        <w:spacing w:before="120" w:after="120"/>
        <w:rPr>
          <w:rFonts w:cs="Times New Roman"/>
          <w:noProof w:val="0"/>
          <w:color w:val="auto"/>
          <w:sz w:val="20"/>
          <w:szCs w:val="20"/>
        </w:rPr>
      </w:pPr>
      <w:r w:rsidRPr="000835F2">
        <w:rPr>
          <w:rFonts w:cs="TimesNewRomanPSMT"/>
          <w:noProof w:val="0"/>
          <w:color w:val="auto"/>
          <w:sz w:val="20"/>
          <w:szCs w:val="20"/>
        </w:rPr>
        <w:t xml:space="preserve"> </w:t>
      </w:r>
      <w:r w:rsidRPr="000835F2">
        <w:rPr>
          <w:noProof w:val="0"/>
          <w:color w:val="auto"/>
          <w:sz w:val="20"/>
          <w:szCs w:val="20"/>
        </w:rPr>
        <w:t>Во пресметката се искажува Друг доход Т11 и подвид на доход S11.3 Друг доход, а како начин на исплата се избира  “во друг облик”.</w:t>
      </w:r>
    </w:p>
    <w:p w14:paraId="7D62C9A9"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 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Фолио број и издава Рекапитулација за утврдување на аконтација на персоналниот данок на доход со статус „Одобрена“ и налог за плаќање на данокот  на доход.                                       </w:t>
      </w:r>
    </w:p>
    <w:p w14:paraId="51DF4ACF" w14:textId="77777777" w:rsidR="00980BDE" w:rsidRPr="000835F2" w:rsidRDefault="00980BDE" w:rsidP="00980BDE">
      <w:pPr>
        <w:spacing w:before="120" w:after="120"/>
        <w:rPr>
          <w:noProof w:val="0"/>
          <w:color w:val="auto"/>
          <w:sz w:val="20"/>
          <w:szCs w:val="20"/>
        </w:rPr>
      </w:pPr>
      <w:r w:rsidRPr="000835F2">
        <w:rPr>
          <w:noProof w:val="0"/>
          <w:color w:val="auto"/>
          <w:sz w:val="20"/>
          <w:szCs w:val="20"/>
        </w:rPr>
        <w:t xml:space="preserve">Плаќањето на данокот на доход кај носителот на платниот промет се врши на  образец ПП53. </w:t>
      </w:r>
    </w:p>
    <w:p w14:paraId="7E45CF1F" w14:textId="77777777" w:rsidR="00980BDE" w:rsidRPr="000835F2" w:rsidRDefault="00980BDE" w:rsidP="00980BDE">
      <w:pPr>
        <w:spacing w:before="120" w:after="120"/>
        <w:rPr>
          <w:noProof w:val="0"/>
          <w:color w:val="auto"/>
          <w:sz w:val="20"/>
          <w:szCs w:val="20"/>
        </w:rPr>
      </w:pPr>
      <w:r w:rsidRPr="000835F2">
        <w:rPr>
          <w:rFonts w:cs="TimesNewRomanPSMT"/>
          <w:noProof w:val="0"/>
          <w:color w:val="auto"/>
          <w:sz w:val="20"/>
          <w:szCs w:val="20"/>
        </w:rPr>
        <w:t xml:space="preserve"> </w:t>
      </w:r>
      <w:r w:rsidRPr="000835F2">
        <w:rPr>
          <w:noProof w:val="0"/>
          <w:color w:val="auto"/>
          <w:sz w:val="20"/>
          <w:szCs w:val="20"/>
        </w:rPr>
        <w:t xml:space="preserve">Доколку пак износот на подигнатите средства е повисок од искажаната загуба, разликата на така подигнати средства над износот на загубата преставува даночна основа по извршената корекција за непризнаени расходи во Даночниот биланс и ќе се оданочи како доход од самостојна дејност, додека пак износот на подигнатите парични средства до искажаната загуба е предмет на оданочување со данок на личен доход согласно член 71 од ЗДЛД. </w:t>
      </w:r>
    </w:p>
    <w:p w14:paraId="76914CEE" w14:textId="66720569" w:rsidR="00301F66" w:rsidRPr="00980BDE" w:rsidRDefault="00301F66" w:rsidP="00980BDE"/>
    <w:sectPr w:rsidR="00301F66" w:rsidRPr="00980BDE"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65EDB" w14:textId="77777777" w:rsidR="00105933" w:rsidRPr="00C567EE" w:rsidRDefault="00105933" w:rsidP="00805345">
      <w:r w:rsidRPr="00C567EE">
        <w:separator/>
      </w:r>
    </w:p>
  </w:endnote>
  <w:endnote w:type="continuationSeparator" w:id="0">
    <w:p w14:paraId="741CD835" w14:textId="77777777" w:rsidR="00105933" w:rsidRPr="00C567EE" w:rsidRDefault="0010593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1D4D9" w14:textId="77777777" w:rsidR="00105933" w:rsidRPr="00C567EE" w:rsidRDefault="00105933" w:rsidP="00805345">
      <w:r w:rsidRPr="00C567EE">
        <w:separator/>
      </w:r>
    </w:p>
  </w:footnote>
  <w:footnote w:type="continuationSeparator" w:id="0">
    <w:p w14:paraId="1E7FA431" w14:textId="77777777" w:rsidR="00105933" w:rsidRPr="00C567EE" w:rsidRDefault="0010593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4"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7"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3"/>
  </w:num>
  <w:num w:numId="2" w16cid:durableId="1900096440">
    <w:abstractNumId w:val="29"/>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6"/>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1"/>
  </w:num>
  <w:num w:numId="13" w16cid:durableId="714353434">
    <w:abstractNumId w:val="15"/>
  </w:num>
  <w:num w:numId="14" w16cid:durableId="1341006038">
    <w:abstractNumId w:val="12"/>
  </w:num>
  <w:num w:numId="15" w16cid:durableId="788474779">
    <w:abstractNumId w:val="2"/>
  </w:num>
  <w:num w:numId="16" w16cid:durableId="639068706">
    <w:abstractNumId w:val="28"/>
  </w:num>
  <w:num w:numId="17" w16cid:durableId="479928752">
    <w:abstractNumId w:val="1"/>
  </w:num>
  <w:num w:numId="18" w16cid:durableId="2018384905">
    <w:abstractNumId w:val="25"/>
  </w:num>
  <w:num w:numId="19" w16cid:durableId="2136213879">
    <w:abstractNumId w:val="3"/>
  </w:num>
  <w:num w:numId="20" w16cid:durableId="694765918">
    <w:abstractNumId w:val="30"/>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2"/>
  </w:num>
  <w:num w:numId="26" w16cid:durableId="1199777193">
    <w:abstractNumId w:val="41"/>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5"/>
  </w:num>
  <w:num w:numId="34" w16cid:durableId="382213961">
    <w:abstractNumId w:val="40"/>
  </w:num>
  <w:num w:numId="35" w16cid:durableId="29001757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4"/>
  </w:num>
  <w:num w:numId="37" w16cid:durableId="1322738061">
    <w:abstractNumId w:val="19"/>
  </w:num>
  <w:num w:numId="38" w16cid:durableId="1951744169">
    <w:abstractNumId w:val="26"/>
  </w:num>
  <w:num w:numId="39" w16cid:durableId="134378012">
    <w:abstractNumId w:val="39"/>
  </w:num>
  <w:num w:numId="40" w16cid:durableId="956259968">
    <w:abstractNumId w:val="37"/>
  </w:num>
  <w:num w:numId="41" w16cid:durableId="286551664">
    <w:abstractNumId w:val="0"/>
  </w:num>
  <w:num w:numId="42" w16cid:durableId="1901164002">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05933"/>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806</Words>
  <Characters>4599</Characters>
  <Application>Microsoft Office Word</Application>
  <DocSecurity>0</DocSecurity>
  <Lines>38</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5395</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2025-10-22T12:13:00Z</dcterms:created>
  <dcterms:modified xsi:type="dcterms:W3CDTF">2025-10-22T12:13:00Z</dcterms:modified>
</cp:coreProperties>
</file>