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BF601" w14:textId="77777777" w:rsidR="00696C25" w:rsidRPr="000835F2" w:rsidRDefault="00696C25" w:rsidP="00696C25">
      <w:pPr>
        <w:jc w:val="both"/>
        <w:rPr>
          <w:rFonts w:eastAsia="Times New Roman"/>
          <w:b/>
          <w:bCs/>
          <w:color w:val="auto"/>
          <w:sz w:val="20"/>
          <w:szCs w:val="20"/>
        </w:rPr>
      </w:pPr>
      <w:r w:rsidRPr="000835F2">
        <w:rPr>
          <w:rFonts w:eastAsia="Times New Roman"/>
          <w:b/>
          <w:bCs/>
          <w:color w:val="auto"/>
          <w:sz w:val="20"/>
          <w:szCs w:val="20"/>
        </w:rPr>
        <w:t>МИСЛЕЊЕ од 06.03.2023:</w:t>
      </w:r>
    </w:p>
    <w:p w14:paraId="02997762" w14:textId="77777777" w:rsidR="00696C25" w:rsidRPr="000835F2" w:rsidRDefault="00696C25" w:rsidP="00696C25">
      <w:pPr>
        <w:overflowPunct w:val="0"/>
        <w:jc w:val="both"/>
        <w:textAlignment w:val="baseline"/>
        <w:rPr>
          <w:rFonts w:eastAsia="Times New Roman"/>
          <w:noProof w:val="0"/>
          <w:color w:val="auto"/>
          <w:sz w:val="20"/>
          <w:szCs w:val="20"/>
          <w:lang w:eastAsia="fi-FI"/>
        </w:rPr>
      </w:pPr>
    </w:p>
    <w:p w14:paraId="5485971C"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Почитувани,</w:t>
      </w:r>
    </w:p>
    <w:p w14:paraId="2402E2F8" w14:textId="77777777" w:rsidR="00696C25" w:rsidRPr="000835F2" w:rsidRDefault="00696C25" w:rsidP="00696C25">
      <w:pPr>
        <w:overflowPunct w:val="0"/>
        <w:jc w:val="both"/>
        <w:textAlignment w:val="baseline"/>
        <w:rPr>
          <w:rFonts w:eastAsia="Times New Roman"/>
          <w:noProof w:val="0"/>
          <w:color w:val="auto"/>
          <w:sz w:val="20"/>
          <w:szCs w:val="20"/>
          <w:lang w:eastAsia="fi-FI"/>
        </w:rPr>
      </w:pPr>
    </w:p>
    <w:p w14:paraId="1DCA0DC0"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Во врска со </w:t>
      </w:r>
      <w:proofErr w:type="spellStart"/>
      <w:r w:rsidRPr="000835F2">
        <w:rPr>
          <w:rFonts w:eastAsia="Times New Roman"/>
          <w:noProof w:val="0"/>
          <w:color w:val="auto"/>
          <w:sz w:val="20"/>
          <w:szCs w:val="20"/>
          <w:lang w:eastAsia="fi-FI"/>
        </w:rPr>
        <w:t>поставенoто</w:t>
      </w:r>
      <w:proofErr w:type="spellEnd"/>
      <w:r w:rsidRPr="000835F2">
        <w:rPr>
          <w:rFonts w:eastAsia="Times New Roman"/>
          <w:noProof w:val="0"/>
          <w:color w:val="auto"/>
          <w:sz w:val="20"/>
          <w:szCs w:val="20"/>
          <w:lang w:eastAsia="fi-FI"/>
        </w:rPr>
        <w:t xml:space="preserve"> прашање Управата за јавни приходи - Генерална дирекција Скопје, Ве известува дека:  </w:t>
      </w:r>
    </w:p>
    <w:p w14:paraId="6B7E476E"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Согласно член 183 од Законот за платежни услуги и платни системи (Службен весник на РСМ бр. 90/22, во понатамошниот текст ЗПУПС), за плаќања со готовина, правно лице може да чува во својата благајна готовина до висината на благајничкиот максимум. </w:t>
      </w:r>
    </w:p>
    <w:p w14:paraId="66872824"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Благајничкиот максимум го утврдува правното лице со посебен акт. </w:t>
      </w:r>
    </w:p>
    <w:p w14:paraId="6A1BDD8B"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Правното лице е должно сите парични средства од дневниот пазар над утврдениот благајнички максимум примени во готовина по било која основа да ги уплати најдоцна до следниот работен ден на својата платежна сметка. </w:t>
      </w:r>
    </w:p>
    <w:p w14:paraId="4A0F0FFC"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Правното лице е должно да ја осигура готовината која ја чува во својата благајна, најмалку до висината на благајничкиот максимум, при што договорот за осигурување задолжително ќе ги покрива </w:t>
      </w:r>
      <w:proofErr w:type="spellStart"/>
      <w:r w:rsidRPr="000835F2">
        <w:rPr>
          <w:rFonts w:eastAsia="Times New Roman"/>
          <w:noProof w:val="0"/>
          <w:color w:val="auto"/>
          <w:sz w:val="20"/>
          <w:szCs w:val="20"/>
          <w:lang w:eastAsia="fi-FI"/>
        </w:rPr>
        <w:t>штетите</w:t>
      </w:r>
      <w:proofErr w:type="spellEnd"/>
      <w:r w:rsidRPr="000835F2">
        <w:rPr>
          <w:rFonts w:eastAsia="Times New Roman"/>
          <w:noProof w:val="0"/>
          <w:color w:val="auto"/>
          <w:sz w:val="20"/>
          <w:szCs w:val="20"/>
          <w:lang w:eastAsia="fi-FI"/>
        </w:rPr>
        <w:t xml:space="preserve"> во случај на пожар, поплава и кражба. </w:t>
      </w:r>
    </w:p>
    <w:p w14:paraId="3EE5255E"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Обврската од ставот (4) на овој член не се однесува на правните лица чиј благајнички максимум е до 20.000 денари. </w:t>
      </w:r>
    </w:p>
    <w:p w14:paraId="77D7536C"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Плаќањето на производи и услуги во готово од страна на правни лица не може поединечно да биде повеќе од 6.000 денари и не може да надмине вкупен износ од 60.000 денари во текот на календарскиот месец. </w:t>
      </w:r>
    </w:p>
    <w:p w14:paraId="1AA852FE"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Од даночен аспект, согласно член 3 од Законот за данок на личен доход </w:t>
      </w:r>
      <w:r w:rsidRPr="000835F2">
        <w:rPr>
          <w:rFonts w:cs="Times New Roman"/>
          <w:noProof w:val="0"/>
          <w:color w:val="auto"/>
          <w:sz w:val="20"/>
          <w:szCs w:val="20"/>
          <w:lang w:eastAsia="x-none"/>
        </w:rPr>
        <w:t>(</w:t>
      </w:r>
      <w:r w:rsidRPr="000835F2">
        <w:rPr>
          <w:rFonts w:eastAsia="Times New Roman"/>
          <w:noProof w:val="0"/>
          <w:color w:val="auto"/>
          <w:sz w:val="20"/>
          <w:szCs w:val="20"/>
          <w:lang w:eastAsia="fi-FI"/>
        </w:rPr>
        <w:t>Службен весник на РМ, бр.24/11...,90/17 и Службен весник на РСМ бр. 251/22,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46849E62"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На оданочување подлежи доходот од ставот 1 на овој член што е остварен во пари, во хартии од вредност, во натура, или во некој друг вид.</w:t>
      </w:r>
    </w:p>
    <w:p w14:paraId="68BCF3B6"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Согласно посоченото, во случаите кога вработениот платил трошок поврзан со </w:t>
      </w:r>
      <w:proofErr w:type="spellStart"/>
      <w:r w:rsidRPr="000835F2">
        <w:rPr>
          <w:rFonts w:eastAsia="Times New Roman"/>
          <w:noProof w:val="0"/>
          <w:color w:val="auto"/>
          <w:sz w:val="20"/>
          <w:szCs w:val="20"/>
          <w:lang w:eastAsia="fi-FI"/>
        </w:rPr>
        <w:t>активноститите</w:t>
      </w:r>
      <w:proofErr w:type="spellEnd"/>
      <w:r w:rsidRPr="000835F2">
        <w:rPr>
          <w:rFonts w:eastAsia="Times New Roman"/>
          <w:noProof w:val="0"/>
          <w:color w:val="auto"/>
          <w:sz w:val="20"/>
          <w:szCs w:val="20"/>
          <w:lang w:eastAsia="fi-FI"/>
        </w:rPr>
        <w:t xml:space="preserve"> на правното лице од свои средства и уредно доставил валидна документација (фискална сметка),  за така платениот трошок правното лице има можност да изврши поврат на паричните средства на вработениот во истиот износ преку каса исплати или со безготовински пренос, со налог ПП 30, под услови направениот трошок да не е во износ поголем од утврдениот во член 183 од ЗПУПС.</w:t>
      </w:r>
    </w:p>
    <w:p w14:paraId="33DE6C5A" w14:textId="77777777" w:rsidR="00696C25" w:rsidRPr="000835F2" w:rsidRDefault="00696C25" w:rsidP="00696C25">
      <w:pPr>
        <w:overflowPunct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Доколку пак станува збор за плаќање на трошок кој не е поврзан и не е во функција на правното лице, согласно член 80, 84, 85  и 92 од ЗДЛД а во врска со видот на доходот предвиден во член 3 од ЗДЛД, правното лице има обврска при исплатата на посочениот </w:t>
      </w:r>
      <w:proofErr w:type="spellStart"/>
      <w:r w:rsidRPr="000835F2">
        <w:rPr>
          <w:rFonts w:eastAsia="Times New Roman"/>
          <w:noProof w:val="0"/>
          <w:color w:val="auto"/>
          <w:sz w:val="20"/>
          <w:szCs w:val="20"/>
          <w:lang w:eastAsia="fi-FI"/>
        </w:rPr>
        <w:t>надометок</w:t>
      </w:r>
      <w:proofErr w:type="spellEnd"/>
      <w:r w:rsidRPr="000835F2">
        <w:rPr>
          <w:rFonts w:eastAsia="Times New Roman"/>
          <w:noProof w:val="0"/>
          <w:color w:val="auto"/>
          <w:sz w:val="20"/>
          <w:szCs w:val="20"/>
          <w:lang w:eastAsia="fi-FI"/>
        </w:rPr>
        <w:t xml:space="preserve"> преку поднесување на електронска пресметка  до органот за јавни приходи да пресмета и плати данок на доход.</w:t>
      </w:r>
    </w:p>
    <w:p w14:paraId="76914CEE" w14:textId="4DAFC1BC" w:rsidR="00301F66" w:rsidRPr="00696C25" w:rsidRDefault="00301F66" w:rsidP="00696C25"/>
    <w:sectPr w:rsidR="00301F66" w:rsidRPr="00696C25"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D0C6F" w14:textId="77777777" w:rsidR="00E42F11" w:rsidRPr="00C567EE" w:rsidRDefault="00E42F11" w:rsidP="00805345">
      <w:r w:rsidRPr="00C567EE">
        <w:separator/>
      </w:r>
    </w:p>
  </w:endnote>
  <w:endnote w:type="continuationSeparator" w:id="0">
    <w:p w14:paraId="5D2CE4B5" w14:textId="77777777" w:rsidR="00E42F11" w:rsidRPr="00C567EE" w:rsidRDefault="00E42F11"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833D0" w14:textId="77777777" w:rsidR="00E42F11" w:rsidRPr="00C567EE" w:rsidRDefault="00E42F11" w:rsidP="00805345">
      <w:r w:rsidRPr="00C567EE">
        <w:separator/>
      </w:r>
    </w:p>
  </w:footnote>
  <w:footnote w:type="continuationSeparator" w:id="0">
    <w:p w14:paraId="1983CD5F" w14:textId="77777777" w:rsidR="00E42F11" w:rsidRPr="00C567EE" w:rsidRDefault="00E42F11"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9"/>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8"/>
  </w:num>
  <w:num w:numId="35" w16cid:durableId="29001757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 w:numId="39" w16cid:durableId="134378012">
    <w:abstractNumId w:val="37"/>
  </w:num>
  <w:num w:numId="40" w16cid:durableId="956259968">
    <w:abstractNumId w:val="3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2F11"/>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418</Words>
  <Characters>2386</Characters>
  <Application>Microsoft Office Word</Application>
  <DocSecurity>0</DocSecurity>
  <Lines>19</Lines>
  <Paragraphs>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2799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2025-10-22T11:49:00Z</dcterms:created>
  <dcterms:modified xsi:type="dcterms:W3CDTF">2025-10-22T11:49:00Z</dcterms:modified>
</cp:coreProperties>
</file>