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AFC1C" w14:textId="77777777" w:rsidR="002E75DC" w:rsidRPr="003E3F7E" w:rsidRDefault="002E75DC" w:rsidP="002E75DC">
      <w:pPr>
        <w:pStyle w:val="af3"/>
        <w:rPr>
          <w:lang w:val="ru-RU"/>
        </w:rPr>
      </w:pPr>
      <w:r w:rsidRPr="003E3F7E">
        <w:t>МИСЛЕЊЕ од 31.10.2024</w:t>
      </w:r>
      <w:r w:rsidRPr="003E3F7E">
        <w:rPr>
          <w:lang w:val="ru-RU"/>
        </w:rPr>
        <w:t>:</w:t>
      </w:r>
    </w:p>
    <w:p w14:paraId="67B6AD97" w14:textId="77777777" w:rsidR="002E75DC" w:rsidRPr="003E3F7E" w:rsidRDefault="002E75DC" w:rsidP="002E75DC">
      <w:pPr>
        <w:rPr>
          <w:rFonts w:eastAsia="Times New Roman"/>
          <w:color w:val="auto"/>
          <w:sz w:val="20"/>
          <w:szCs w:val="18"/>
          <w:lang w:val="ru-RU"/>
        </w:rPr>
      </w:pPr>
    </w:p>
    <w:p w14:paraId="662E5784" w14:textId="77777777" w:rsidR="002E75DC" w:rsidRPr="003E3F7E" w:rsidRDefault="002E75DC" w:rsidP="002E75DC">
      <w:pPr>
        <w:rPr>
          <w:rFonts w:eastAsia="Times New Roman"/>
          <w:color w:val="auto"/>
          <w:sz w:val="20"/>
          <w:szCs w:val="18"/>
          <w:lang w:val="ru-RU"/>
        </w:rPr>
      </w:pPr>
      <w:r w:rsidRPr="003E3F7E">
        <w:rPr>
          <w:rFonts w:eastAsia="Times New Roman"/>
          <w:color w:val="auto"/>
          <w:sz w:val="20"/>
          <w:szCs w:val="18"/>
        </w:rPr>
        <w:t>Почитувани,</w:t>
      </w:r>
    </w:p>
    <w:p w14:paraId="1AE03EBE" w14:textId="77777777" w:rsidR="002E75DC" w:rsidRPr="003E3F7E" w:rsidRDefault="002E75DC" w:rsidP="002E75DC">
      <w:pPr>
        <w:rPr>
          <w:rFonts w:eastAsia="Times New Roman"/>
          <w:color w:val="auto"/>
          <w:sz w:val="20"/>
          <w:szCs w:val="18"/>
          <w:lang w:val="ru-RU"/>
        </w:rPr>
      </w:pPr>
    </w:p>
    <w:p w14:paraId="27D3C60F"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  Ве известува: </w:t>
      </w:r>
    </w:p>
    <w:p w14:paraId="0261E86C"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Согласно член 2 точка 1 од од Законот за данокот на додадена вредност (“Сл. Весник на РМ” бр. 44/99...198/18 и “Сл. Весник на РСМ” бр.98/19...199/23,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011E28D7"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7D117D05"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 xml:space="preserve">Поимот “во земјата”, согласно членот 11 од ЗДДВ, ја претставува територијата на Република Македонија, со исклучок на слободните зони, царинските зони и царинските складови. </w:t>
      </w:r>
    </w:p>
    <w:p w14:paraId="22F63381"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 xml:space="preserve">Прометот наменет за крајна потрошувачка во слободни зони, царински зони или царински складови ќе се смета за промет остварен во земјата согласно член 12 став 1 од ЗДДВ. </w:t>
      </w:r>
    </w:p>
    <w:p w14:paraId="5A22AAE9"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Согласно член 12 став 2 од ЗДДВ, промет наменет за крајна потрошувачка е прометот за кој примателот на прометот нема право на одбивка на претходен данок, односно:</w:t>
      </w:r>
    </w:p>
    <w:p w14:paraId="7F039EAF"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1. прометот спрема лица кои не се даночни обврзници;</w:t>
      </w:r>
    </w:p>
    <w:p w14:paraId="48EB8AF2"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2. прометот спрема даночни обврзници во смисла на членот 51 став 3 од ЗДДВ, доколку истите не се регистрирале доброволно за данокот на додадена вредност;</w:t>
      </w:r>
    </w:p>
    <w:p w14:paraId="0F3E4AFF"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3. прометот спрема даночни обврзници кои го користат овој промет заради извршување промет ослободен од данок според членот 23 од ЗДДВ и</w:t>
      </w:r>
    </w:p>
    <w:p w14:paraId="63CFCD62"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4. прометот спрема даночни обврзници, кој доведува до исклучување на правото на одбивка на претходниот данок според членот 35 точки 2 до 6 од ЗДДВ.</w:t>
      </w:r>
    </w:p>
    <w:p w14:paraId="36072402"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За цели на утврдување дали одредена услуга која што се врши кон корисник на ТИРЗ во смисла на член 4 точка 7 од Законот за технолошки индустриски развојни зони (“Сл. Весник на РМ” бр.14/07...13/23, во натамошниот текст ЗТИРЗ),  ќе подлежи на оданочување со ДДВ или не, треба да се има во предвид членот 14 од ЗДДВ, како и одредбите од членот 12 од ЗДДВ кој го дефинира прометот наменет за крајна потрошувачка во слободни зони, царински зони или царински складови и членот 35 од ЗДДВ со кој се пропишуваат исклучоците на правото на одбивка на претходниот данок.</w:t>
      </w:r>
    </w:p>
    <w:p w14:paraId="4AFD40C9"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Согласно член 5-a став 1 од ЗТИРЗ, прометот на добра и услуги во технолошките индустриски развојни зони, освен прометот наменет за крајна потрошувачка, не е предмет на оданочување со данокот на додадена вредност.</w:t>
      </w:r>
    </w:p>
    <w:p w14:paraId="70AB339C"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 xml:space="preserve">Прометот, кај кој местото на прометот на услугата се наоѓа во слободните зони (ТИРЗ) според член 14 од ЗДДВ, не подлежи на оданочување со данокот на додадена вредност, со исклучок на прометот наменет за крајна потрошувачка во смисла на член 12 од ЗДДВ кој се смета за промет остварен во земјата и истиот подлежи на оданочување на ДДВ. </w:t>
      </w:r>
    </w:p>
    <w:p w14:paraId="72E7EAA5"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 xml:space="preserve">Како прометот наменет за крајна потрошувачка се смета и прометот за кој примателот на прометот - корисникот на ТИРЗ нема право на одбивка на претходен данок согласно член 35 точки 2 до 6 од ЗДДВ. </w:t>
      </w:r>
    </w:p>
    <w:p w14:paraId="4621A943"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Согласно член 35 од ЗДДВ, даночниот обврзник нема право на одбивка на претходен данок за:</w:t>
      </w:r>
    </w:p>
    <w:p w14:paraId="146749C8"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1.   Набавки или увозот на добра и користењето услуги за цели на прометот:</w:t>
      </w:r>
    </w:p>
    <w:p w14:paraId="59863A59"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а)     ослободен од данок според член 23 од ЗДДВ или</w:t>
      </w:r>
    </w:p>
    <w:p w14:paraId="0D79471F"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б)    во странство кој би бил ослободен од данок според член 23 од ЗДДВ, ако би се извршувал во земјата;</w:t>
      </w:r>
    </w:p>
    <w:p w14:paraId="00AA1B20"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 xml:space="preserve">2. Набавки, производство и увоз на велосипеди, моторни возила со помалку од четири тркала (категорија L), возила за превоз на патници, кои, покрај седиштето на возачот, имаат најмногу до осум седишта и чија најголема маса не надминува 3500 кг (категорија М1), исклучувајќи ги возилата за </w:t>
      </w:r>
      <w:r w:rsidRPr="003E3F7E">
        <w:rPr>
          <w:rFonts w:eastAsia="Times New Roman"/>
          <w:color w:val="auto"/>
          <w:sz w:val="20"/>
          <w:szCs w:val="18"/>
        </w:rPr>
        <w:lastRenderedPageBreak/>
        <w:t>комбиниран превоз, летала, пловни објекти, како и резервни делови, гориво и потрошен материјал за нив, нивно изнајмување, одржување и поправка и за други услуги поврзани со нивно користење. Ова не важи во случаите, кога даночниот обврзник ги користи превозните средства или другите добра во календарската година исклучиво за следниве дејности:</w:t>
      </w:r>
    </w:p>
    <w:p w14:paraId="18DF4A35"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 xml:space="preserve">а) </w:t>
      </w:r>
      <w:r w:rsidRPr="003E3F7E">
        <w:rPr>
          <w:rFonts w:eastAsia="Times New Roman"/>
          <w:color w:val="auto"/>
          <w:sz w:val="20"/>
          <w:szCs w:val="18"/>
        </w:rPr>
        <w:tab/>
        <w:t>промет со наведените превозни средства и други средства,</w:t>
      </w:r>
    </w:p>
    <w:p w14:paraId="492E93D8"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 xml:space="preserve">б) </w:t>
      </w:r>
      <w:r w:rsidRPr="003E3F7E">
        <w:rPr>
          <w:rFonts w:eastAsia="Times New Roman"/>
          <w:color w:val="auto"/>
          <w:sz w:val="20"/>
          <w:szCs w:val="18"/>
        </w:rPr>
        <w:tab/>
        <w:t>изнајмување на наведените превозни средства,</w:t>
      </w:r>
    </w:p>
    <w:p w14:paraId="1AEA9A7A"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 xml:space="preserve">в) </w:t>
      </w:r>
      <w:r w:rsidRPr="003E3F7E">
        <w:rPr>
          <w:rFonts w:eastAsia="Times New Roman"/>
          <w:color w:val="auto"/>
          <w:sz w:val="20"/>
          <w:szCs w:val="18"/>
        </w:rPr>
        <w:tab/>
        <w:t>превоз со наведените превозни средства,</w:t>
      </w:r>
    </w:p>
    <w:p w14:paraId="353503C0"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 xml:space="preserve">г) </w:t>
      </w:r>
      <w:r w:rsidRPr="003E3F7E">
        <w:rPr>
          <w:rFonts w:eastAsia="Times New Roman"/>
          <w:color w:val="auto"/>
          <w:sz w:val="20"/>
          <w:szCs w:val="18"/>
        </w:rPr>
        <w:tab/>
        <w:t>обука на возачи со нив,</w:t>
      </w:r>
    </w:p>
    <w:p w14:paraId="4DDDB6E3"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д)     одржување и поправка на наведените превозни средства и други добра;</w:t>
      </w:r>
    </w:p>
    <w:p w14:paraId="4DBE1002"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3. Расходи за репрезентација на претпријатието или на сопственикот (гостење, подароци, одмор, рекреација и разонода);</w:t>
      </w:r>
    </w:p>
    <w:p w14:paraId="0F790C00"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4.  Набавки или увоз на фрижидери, аудио и видео апарати, теписи и уметнички предмети со кои се опремуваат своите административни простории;</w:t>
      </w:r>
    </w:p>
    <w:p w14:paraId="31CE055D"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5.    Издатоци за превоз на лица;</w:t>
      </w:r>
    </w:p>
    <w:p w14:paraId="47B07E73"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6.   Издатоци за сместување во хотели или слични објекти и за исхрана со исклучок на издатоци за  кетеринг за лица ангажирани од филмскиот продуцент, при производство на филм  наменет за јавно прикажување и</w:t>
      </w:r>
    </w:p>
    <w:p w14:paraId="58EFEE6C"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7.  Данокот на додадена вредност кој го должи издавачот на фактурата според член 55 став 1 или 2  од ЗДДВ.</w:t>
      </w:r>
    </w:p>
    <w:p w14:paraId="079A8D9D"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 xml:space="preserve">Освен во случаите кога даночниот обврзник ги користи превозните средства исклучиво за цели наведени во член 35 точка 2 реченица 2 алинеја а) до д) од ЗДДВ, правото на одбивка на претходни даноци е секогаш исклучено за даноци кои настанале при набавката, производството, изнајмувањето или увозот на превозните средства наведени во член 35 точка 2 реченица 1 од ЗДДВ, дури и во случаи кога даночниот обврзник ги користи овие превозни средства исклучиво за цели на неговата стопанска дејност. Ова важи за сите издатоци поврзани со користењето на ваквите превозни средства, особено за набавка на резервни делови (на пр. автомобилски гуми), гориво и потрошен материјал (на пр. моторно масло или средства за нега на возилото), како и за услуги поврзани со користењето на наведените превозни средства (на пр. трошоци за одржување или поправка, за паркирање, надоместоци за изнајмување гаражи). </w:t>
      </w:r>
    </w:p>
    <w:p w14:paraId="4F37747C"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Согласно напред наведеното, кога се работи за давање на услуга на изнајмување на патничко возило кон корисник на ТИРЗ, треба да се има во предвид членот 12 став 2 точка 4 од ЗДДВ, а во врска со член 35 точка 2 од ЗДДВ, односно правото на одбивка на претходни даноци е исклучено за даноци кои настанале при набавката, производството, изнајмувањето или увозот на превозните средства наведени во член 35 точка 2 реченица 1 од ЗДДВ, дури и во случаи кога даночниот обврзник ги користи овие превозни средства исклучиво за цели на неговата стопанска дејност.</w:t>
      </w:r>
    </w:p>
    <w:p w14:paraId="1D7C9895" w14:textId="77777777" w:rsidR="002E75DC" w:rsidRPr="003E3F7E" w:rsidRDefault="002E75DC" w:rsidP="002E75DC">
      <w:pPr>
        <w:rPr>
          <w:rFonts w:eastAsia="Times New Roman"/>
          <w:color w:val="auto"/>
          <w:sz w:val="20"/>
          <w:szCs w:val="18"/>
        </w:rPr>
      </w:pPr>
      <w:r w:rsidRPr="003E3F7E">
        <w:rPr>
          <w:rFonts w:eastAsia="Times New Roman"/>
          <w:color w:val="auto"/>
          <w:sz w:val="20"/>
          <w:szCs w:val="18"/>
        </w:rPr>
        <w:t>Бидејќи за прометот на услугата - изнајмување на патничко возило е исклучено правото на одбивка на претходен данок согласно член 35 точка 2 од ЗДДВ, истото значи дека прометот на услугата - изнајмување на патничко возило, кон корисник на ТИРЗ, се смета за промет наменет за крајна потрошувачка во смисла на член 12 од ЗДДВ, односно за промет остварен во земјата при што даночниот обврзник - вршител на прометот (Рент а кар компанија) има обврска да пресмета ДДВ во издадената фактура за изнајмување на патничко возило кон даночниот обврзник -корисник на ТИРЗ.</w:t>
      </w:r>
    </w:p>
    <w:p w14:paraId="193B1196" w14:textId="084F0276" w:rsidR="009157F7" w:rsidRPr="002E75DC" w:rsidRDefault="009157F7" w:rsidP="002E75DC"/>
    <w:sectPr w:rsidR="009157F7" w:rsidRPr="002E75DC"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AEFDB" w14:textId="77777777" w:rsidR="00DD2EC6" w:rsidRPr="001F0481" w:rsidRDefault="00DD2EC6" w:rsidP="00805345">
      <w:r w:rsidRPr="001F0481">
        <w:separator/>
      </w:r>
    </w:p>
  </w:endnote>
  <w:endnote w:type="continuationSeparator" w:id="0">
    <w:p w14:paraId="2F79CDEF" w14:textId="77777777" w:rsidR="00DD2EC6" w:rsidRPr="001F0481" w:rsidRDefault="00DD2EC6"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4D938E" w14:textId="77777777" w:rsidR="00DD2EC6" w:rsidRPr="001F0481" w:rsidRDefault="00DD2EC6" w:rsidP="00805345">
      <w:r w:rsidRPr="001F0481">
        <w:separator/>
      </w:r>
    </w:p>
  </w:footnote>
  <w:footnote w:type="continuationSeparator" w:id="0">
    <w:p w14:paraId="7A4C0CA0" w14:textId="77777777" w:rsidR="00DD2EC6" w:rsidRPr="001F0481" w:rsidRDefault="00DD2EC6"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E75DC"/>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075F7"/>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0BD3"/>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2EC6"/>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1005</Words>
  <Characters>5735</Characters>
  <Application>Microsoft Office Word</Application>
  <DocSecurity>0</DocSecurity>
  <Lines>47</Lines>
  <Paragraphs>13</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6727</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2025-10-21T11:52:00Z</dcterms:created>
  <dcterms:modified xsi:type="dcterms:W3CDTF">2025-10-21T11:52:00Z</dcterms:modified>
</cp:coreProperties>
</file>