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303F2" w14:textId="77777777" w:rsidR="00C00BD3" w:rsidRPr="003E3F7E" w:rsidRDefault="00C00BD3" w:rsidP="00C00BD3">
      <w:pPr>
        <w:pStyle w:val="af3"/>
        <w:rPr>
          <w:lang w:val="ru-RU"/>
        </w:rPr>
      </w:pPr>
      <w:r w:rsidRPr="003E3F7E">
        <w:t>МИСЛЕЊЕ од 22.11.2024</w:t>
      </w:r>
      <w:r w:rsidRPr="003E3F7E">
        <w:rPr>
          <w:lang w:val="ru-RU"/>
        </w:rPr>
        <w:t>:</w:t>
      </w:r>
    </w:p>
    <w:p w14:paraId="202B4A2F" w14:textId="77777777" w:rsidR="00C00BD3" w:rsidRPr="003E3F7E" w:rsidRDefault="00C00BD3" w:rsidP="00C00BD3">
      <w:pPr>
        <w:rPr>
          <w:rFonts w:eastAsia="Times New Roman"/>
          <w:color w:val="auto"/>
          <w:sz w:val="20"/>
          <w:szCs w:val="18"/>
          <w:lang w:val="ru-RU"/>
        </w:rPr>
      </w:pPr>
    </w:p>
    <w:p w14:paraId="37C9BCCC" w14:textId="77777777" w:rsidR="00C00BD3" w:rsidRPr="003E3F7E" w:rsidRDefault="00C00BD3" w:rsidP="00C00BD3">
      <w:pPr>
        <w:rPr>
          <w:rFonts w:eastAsia="Times New Roman"/>
          <w:color w:val="auto"/>
          <w:sz w:val="20"/>
          <w:szCs w:val="18"/>
          <w:lang w:val="ru-RU"/>
        </w:rPr>
      </w:pPr>
      <w:r w:rsidRPr="003E3F7E">
        <w:rPr>
          <w:rFonts w:eastAsia="Times New Roman"/>
          <w:color w:val="auto"/>
          <w:sz w:val="20"/>
          <w:szCs w:val="18"/>
        </w:rPr>
        <w:t>Почитувани,</w:t>
      </w:r>
    </w:p>
    <w:p w14:paraId="515CC223" w14:textId="77777777" w:rsidR="00C00BD3" w:rsidRPr="003E3F7E" w:rsidRDefault="00C00BD3" w:rsidP="00C00BD3">
      <w:pPr>
        <w:rPr>
          <w:rFonts w:eastAsia="Times New Roman"/>
          <w:color w:val="auto"/>
          <w:sz w:val="20"/>
          <w:szCs w:val="18"/>
          <w:lang w:val="ru-RU"/>
        </w:rPr>
      </w:pPr>
    </w:p>
    <w:p w14:paraId="6E90A55C" w14:textId="77777777" w:rsidR="00C00BD3" w:rsidRPr="003E3F7E" w:rsidRDefault="00C00BD3" w:rsidP="00C00BD3">
      <w:pPr>
        <w:rPr>
          <w:rFonts w:eastAsia="Times New Roman"/>
          <w:color w:val="auto"/>
          <w:sz w:val="20"/>
          <w:szCs w:val="18"/>
        </w:rPr>
      </w:pPr>
      <w:r w:rsidRPr="003E3F7E">
        <w:rPr>
          <w:rFonts w:eastAsia="Times New Roman"/>
          <w:color w:val="auto"/>
          <w:sz w:val="20"/>
          <w:szCs w:val="18"/>
        </w:rPr>
        <w:t xml:space="preserve">Во врска со Вашето прашање, Управата за јавни приходи, Ве известува за следното:   </w:t>
      </w:r>
    </w:p>
    <w:p w14:paraId="3E24A2CC" w14:textId="77777777" w:rsidR="00C00BD3" w:rsidRPr="003E3F7E" w:rsidRDefault="00C00BD3" w:rsidP="00C00BD3">
      <w:pPr>
        <w:rPr>
          <w:rFonts w:eastAsia="Times New Roman"/>
          <w:color w:val="auto"/>
          <w:sz w:val="20"/>
          <w:szCs w:val="18"/>
        </w:rPr>
      </w:pPr>
      <w:r w:rsidRPr="003E3F7E">
        <w:rPr>
          <w:rFonts w:eastAsia="Times New Roman"/>
          <w:color w:val="auto"/>
          <w:sz w:val="20"/>
          <w:szCs w:val="18"/>
        </w:rPr>
        <w:t>Согласно член 2 точка 1 од Законот за данокот на додадена вредност (“Сл. Весник на РМ” бр. 44/99...198/18 и “Сл. Весник на РСМ” бр.98/19…199/23,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1E864700" w14:textId="77777777" w:rsidR="00C00BD3" w:rsidRPr="003E3F7E" w:rsidRDefault="00C00BD3" w:rsidP="00C00BD3">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205E8B24" w14:textId="77777777" w:rsidR="00C00BD3" w:rsidRPr="003E3F7E" w:rsidRDefault="00C00BD3" w:rsidP="00C00BD3">
      <w:pPr>
        <w:rPr>
          <w:rFonts w:eastAsia="Times New Roman"/>
          <w:color w:val="auto"/>
          <w:sz w:val="20"/>
          <w:szCs w:val="18"/>
        </w:rPr>
      </w:pPr>
      <w:r w:rsidRPr="003E3F7E">
        <w:rPr>
          <w:rFonts w:eastAsia="Times New Roman"/>
          <w:color w:val="auto"/>
          <w:sz w:val="20"/>
          <w:szCs w:val="18"/>
        </w:rPr>
        <w:t xml:space="preserve">Кај прометот на услуги оданочувањето според член 2 точка 1 од ЗДДВ зависи од тоа дали услугите биле извршени во земјата или надвор од неа. Местото на услугата се утврдува според член 14 од ЗДДВ. Неопходноста за утврдување на местото на услугата секогаш се појавува кога услугата фактички се врши во странство или кога вршителот или корисникот на услугата е резидентен во странство. </w:t>
      </w:r>
    </w:p>
    <w:p w14:paraId="660CAA22" w14:textId="77777777" w:rsidR="00C00BD3" w:rsidRPr="003E3F7E" w:rsidRDefault="00C00BD3" w:rsidP="00C00BD3">
      <w:pPr>
        <w:rPr>
          <w:rFonts w:eastAsia="Times New Roman"/>
          <w:color w:val="auto"/>
          <w:sz w:val="20"/>
          <w:szCs w:val="18"/>
        </w:rPr>
      </w:pPr>
      <w:r w:rsidRPr="003E3F7E">
        <w:rPr>
          <w:rFonts w:eastAsia="Times New Roman"/>
          <w:color w:val="auto"/>
          <w:sz w:val="20"/>
          <w:szCs w:val="18"/>
        </w:rPr>
        <w:t xml:space="preserve">Согласно член 14 став 1 од ЗДДВ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ЗДДВ, односно на секој промет на услуги извршен кон нив. </w:t>
      </w:r>
    </w:p>
    <w:p w14:paraId="0EE7D430" w14:textId="77777777" w:rsidR="00C00BD3" w:rsidRPr="003E3F7E" w:rsidRDefault="00C00BD3" w:rsidP="00C00BD3">
      <w:pPr>
        <w:rPr>
          <w:rFonts w:eastAsia="Times New Roman"/>
          <w:color w:val="auto"/>
          <w:sz w:val="20"/>
          <w:szCs w:val="18"/>
        </w:rPr>
      </w:pPr>
      <w:r w:rsidRPr="003E3F7E">
        <w:rPr>
          <w:rFonts w:eastAsia="Times New Roman"/>
          <w:color w:val="auto"/>
          <w:sz w:val="20"/>
          <w:szCs w:val="18"/>
        </w:rPr>
        <w:t>Согласно член 2 од Правилникот за спроведување на ЗДДВ (Сл.Весник на РСМ бр. 18/24 и 19/24), за цели на одредување на местото на промет на услуги согласно член 14 став 1 од ЗДДВ, даночниот обврзник вршител на прометот на услуги потребно е да обезбеди за примателот на услугата:</w:t>
      </w:r>
    </w:p>
    <w:p w14:paraId="6EC3F63F" w14:textId="77777777" w:rsidR="00C00BD3" w:rsidRPr="003E3F7E" w:rsidRDefault="00C00BD3" w:rsidP="00C00BD3">
      <w:pPr>
        <w:rPr>
          <w:rFonts w:eastAsia="Times New Roman"/>
          <w:color w:val="auto"/>
          <w:sz w:val="20"/>
          <w:szCs w:val="18"/>
        </w:rPr>
      </w:pPr>
      <w:r w:rsidRPr="003E3F7E">
        <w:rPr>
          <w:rFonts w:eastAsia="Times New Roman"/>
          <w:color w:val="auto"/>
          <w:sz w:val="20"/>
          <w:szCs w:val="18"/>
        </w:rPr>
        <w:t>а) потврда издадена од надлежен даночен орган во која е содржан даночен број и со која се докажува дека примателот на услугата е даночен обврзник согласно член 9 од ЗДДВ, односно е лице кое трајно или повремено самостојно врши стопанска дејност, независно од целите и резултатите од оваа дејност, или</w:t>
      </w:r>
    </w:p>
    <w:p w14:paraId="6ECAD3A8" w14:textId="77777777" w:rsidR="00C00BD3" w:rsidRPr="003E3F7E" w:rsidRDefault="00C00BD3" w:rsidP="00C00BD3">
      <w:pPr>
        <w:rPr>
          <w:rFonts w:eastAsia="Times New Roman"/>
          <w:color w:val="auto"/>
          <w:sz w:val="20"/>
          <w:szCs w:val="18"/>
        </w:rPr>
      </w:pPr>
      <w:r w:rsidRPr="003E3F7E">
        <w:rPr>
          <w:rFonts w:eastAsia="Times New Roman"/>
          <w:color w:val="auto"/>
          <w:sz w:val="20"/>
          <w:szCs w:val="18"/>
        </w:rPr>
        <w:t>б) доколку не обезбезбеди потврда од точка а), тогаш обезбедува ДДВ број или сличен регистрациски број кој е доделен од страна на надлежен орган во државата во која се наоѓа примателот на услугата и кој се користи со цел да се идентификува дека примателот на услугата врши стопанска дејност/деловен потфат, или на друг начин да се утврди дека примателот на услугата е даночен обврзник или лице што се смета за даночен обврзник согласно член 14 став (1) од ЗДДВ.</w:t>
      </w:r>
    </w:p>
    <w:p w14:paraId="7626CF23" w14:textId="77777777" w:rsidR="00C00BD3" w:rsidRPr="003E3F7E" w:rsidRDefault="00C00BD3" w:rsidP="00C00BD3">
      <w:pPr>
        <w:rPr>
          <w:rFonts w:eastAsia="Times New Roman"/>
          <w:color w:val="auto"/>
          <w:sz w:val="20"/>
          <w:szCs w:val="18"/>
        </w:rPr>
      </w:pPr>
      <w:r w:rsidRPr="003E3F7E">
        <w:rPr>
          <w:rFonts w:eastAsia="Times New Roman"/>
          <w:color w:val="auto"/>
          <w:sz w:val="20"/>
          <w:szCs w:val="18"/>
        </w:rPr>
        <w:t>Согласно член 14 став 2 од ЗДДВ,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49E55C56" w14:textId="77777777" w:rsidR="00C00BD3" w:rsidRPr="003E3F7E" w:rsidRDefault="00C00BD3" w:rsidP="00C00BD3">
      <w:pPr>
        <w:rPr>
          <w:rFonts w:eastAsia="Times New Roman"/>
          <w:color w:val="auto"/>
          <w:sz w:val="20"/>
          <w:szCs w:val="18"/>
        </w:rPr>
      </w:pPr>
      <w:r w:rsidRPr="003E3F7E">
        <w:rPr>
          <w:rFonts w:eastAsia="Times New Roman"/>
          <w:color w:val="auto"/>
          <w:sz w:val="20"/>
          <w:szCs w:val="18"/>
        </w:rPr>
        <w:t>Согласно член 32 точка 4 од Законот за данокот на додадена вредност, даночен должник за данокот на додадена вредност е примателот на доброто или корисникот на услугата, доколку истиот е даночен обврзник или институција во смисла на член 10 став 1 од ЗДДВ, во случај на промет извршен од страна на даночен обврзник кој нема ниту седиште, ниту подружница во Република Северна Македонија. Во тие случаи, обврската за пресметување на данокот (член 40), за поднесување даночна пријава (член 41), за плаќање на данокот (член 43) и за плаќање камата во случај на задоцнето плаќање на данокот (член 44) паѓа на товар на даночниот должник.</w:t>
      </w:r>
    </w:p>
    <w:p w14:paraId="7F143B5C" w14:textId="77777777" w:rsidR="00C00BD3" w:rsidRPr="003E3F7E" w:rsidRDefault="00C00BD3" w:rsidP="00C00BD3">
      <w:pPr>
        <w:rPr>
          <w:rFonts w:eastAsia="Times New Roman"/>
          <w:color w:val="auto"/>
          <w:sz w:val="20"/>
          <w:szCs w:val="18"/>
        </w:rPr>
      </w:pPr>
      <w:r w:rsidRPr="003E3F7E">
        <w:rPr>
          <w:rFonts w:eastAsia="Times New Roman"/>
          <w:color w:val="auto"/>
          <w:sz w:val="20"/>
          <w:szCs w:val="18"/>
        </w:rPr>
        <w:t xml:space="preserve">Даночниот обврзник-примател на исполнувањето е должен да стави забелешка на фактурата во врска со тоа кој износ на данок го долгува  според член 32 точка 4 од ЗДДВ и да го искаже прометот и данокот </w:t>
      </w:r>
      <w:r w:rsidRPr="003E3F7E">
        <w:rPr>
          <w:rFonts w:eastAsia="Times New Roman"/>
          <w:color w:val="auto"/>
          <w:sz w:val="20"/>
          <w:szCs w:val="18"/>
        </w:rPr>
        <w:lastRenderedPageBreak/>
        <w:t>од фактурата во полињата 12 и 13 односно 14 и 15 од ДДВ пријавата. Ваквата фактура ќе се признае, за фактура во смисла на член 34 став 1 точка 2 од ЗДДВ и даночниот обврзник ќе може да го одбие претходниот данок (со искажување во полињата 23 и 24 од пријавата) само доколку се исполнети сите пропишани услови за одбивка на претходен данок во членовите 33, 34 и 35 од ЗДДВ. Во спротивно, истиот не се искажува во ДДВ пријавата како влезно исполнување и даночниот обврзник-примател на исполнувањето е должен да го плати долгуваниот износ.</w:t>
      </w:r>
    </w:p>
    <w:p w14:paraId="46363CBF" w14:textId="77777777" w:rsidR="00C00BD3" w:rsidRPr="003E3F7E" w:rsidRDefault="00C00BD3" w:rsidP="00C00BD3">
      <w:pPr>
        <w:rPr>
          <w:rFonts w:eastAsia="Times New Roman"/>
          <w:color w:val="auto"/>
          <w:sz w:val="20"/>
          <w:szCs w:val="18"/>
        </w:rPr>
      </w:pPr>
      <w:r w:rsidRPr="003E3F7E">
        <w:rPr>
          <w:rFonts w:eastAsia="Times New Roman"/>
          <w:color w:val="auto"/>
          <w:sz w:val="20"/>
          <w:szCs w:val="18"/>
        </w:rPr>
        <w:t>Согласно напред наведеното кога услугата се врши од даночен обврзник кој нема седиште ниту подружница во Република Македонија и истата се врши кон даночен обврзник во смисла на член 14 став 1 од ЗДДВ, местото на промет на услугата на ангажирање на обучувач, се утврдува согласно член 14 став 2 од ЗДДВ, односно местото на промет на услугата е местото каде што корисникот на услугата има вистинско седиште (во земјата). Во тој случај се применува членот 32, точка 4 од ЗДДВ, според кој даночен должник е примателот на доброто или корисникот на услугата, доколку истиот е даночен обврзник или институција во смисла на член 10 став 1 од овој закон, во случај на промет, извршен од страна на даночен обврзник, кој нема ниту седиште, ниту подружница во Република Македонија и истиот ќе има обврска да го пресмета данокот, да го пријави во ДДВ пријавата и да го плати данокот.</w:t>
      </w:r>
    </w:p>
    <w:p w14:paraId="193B1196" w14:textId="084F0276" w:rsidR="009157F7" w:rsidRPr="00C00BD3" w:rsidRDefault="009157F7" w:rsidP="00C00BD3"/>
    <w:sectPr w:rsidR="009157F7" w:rsidRPr="00C00BD3"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7697EB" w14:textId="77777777" w:rsidR="001469D0" w:rsidRPr="001F0481" w:rsidRDefault="001469D0" w:rsidP="00805345">
      <w:r w:rsidRPr="001F0481">
        <w:separator/>
      </w:r>
    </w:p>
  </w:endnote>
  <w:endnote w:type="continuationSeparator" w:id="0">
    <w:p w14:paraId="4D50B9DE" w14:textId="77777777" w:rsidR="001469D0" w:rsidRPr="001F0481" w:rsidRDefault="001469D0"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F531D9" w14:textId="77777777" w:rsidR="001469D0" w:rsidRPr="001F0481" w:rsidRDefault="001469D0" w:rsidP="00805345">
      <w:r w:rsidRPr="001F0481">
        <w:separator/>
      </w:r>
    </w:p>
  </w:footnote>
  <w:footnote w:type="continuationSeparator" w:id="0">
    <w:p w14:paraId="5DD69EBA" w14:textId="77777777" w:rsidR="001469D0" w:rsidRPr="001F0481" w:rsidRDefault="001469D0"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69D0"/>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075F7"/>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0BD3"/>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771</Words>
  <Characters>4400</Characters>
  <Application>Microsoft Office Word</Application>
  <DocSecurity>0</DocSecurity>
  <Lines>36</Lines>
  <Paragraphs>10</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5161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2025-10-21T11:51:00Z</dcterms:created>
  <dcterms:modified xsi:type="dcterms:W3CDTF">2025-10-21T11:51:00Z</dcterms:modified>
</cp:coreProperties>
</file>