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5E38E" w14:textId="77777777" w:rsidR="00884CE8" w:rsidRPr="003E3F7E" w:rsidRDefault="00884CE8" w:rsidP="00884CE8">
      <w:pPr>
        <w:pStyle w:val="af3"/>
        <w:rPr>
          <w:lang w:val="ru-RU"/>
        </w:rPr>
      </w:pPr>
      <w:r w:rsidRPr="003E3F7E">
        <w:t>МИСЛЕЊЕ од 30.12.2024</w:t>
      </w:r>
      <w:r w:rsidRPr="003E3F7E">
        <w:rPr>
          <w:lang w:val="ru-RU"/>
        </w:rPr>
        <w:t>:</w:t>
      </w:r>
    </w:p>
    <w:p w14:paraId="60B79C52" w14:textId="77777777" w:rsidR="00884CE8" w:rsidRPr="003E3F7E" w:rsidRDefault="00884CE8" w:rsidP="00884CE8">
      <w:pPr>
        <w:pStyle w:val="af3"/>
        <w:rPr>
          <w:lang w:val="ru-RU"/>
        </w:rPr>
      </w:pPr>
    </w:p>
    <w:p w14:paraId="7EF4D88B"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Почитувани,</w:t>
      </w:r>
    </w:p>
    <w:p w14:paraId="122435C6" w14:textId="77777777" w:rsidR="00884CE8" w:rsidRPr="003E3F7E" w:rsidRDefault="00884CE8" w:rsidP="00884CE8">
      <w:pPr>
        <w:rPr>
          <w:rFonts w:eastAsia="Times New Roman"/>
          <w:color w:val="auto"/>
          <w:sz w:val="20"/>
          <w:szCs w:val="18"/>
          <w:lang w:val="ru-RU"/>
        </w:rPr>
      </w:pPr>
    </w:p>
    <w:p w14:paraId="122FA85A"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495A39BF"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Согласно член 33 од Законот за данокот на додадена вредност (“Сл. Весник на РМ” бр. 44/99...198/18 и “Сл. Весник на РСМ” бр. 98/19…199/23, во натамошниот текст ЗДДВ), претходен данок е износот за кој се намалува ДДВ што се должи за извршениот промет за одреден даночен период. Претходниот данок се однесува на: данокот на додадена вредност за прометот кој е извршен спрема даночни обврзници од страна на други даночни обврзници, данокот на додадена вредност за плаќања, кои даночниот обврзник ги извршил за прометот кој сеуште не е извршен спрема него и данокот на додадена вредност кој е платен за увозот на добра.       </w:t>
      </w:r>
    </w:p>
    <w:p w14:paraId="25661EF1"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Согласно член 34 од ЗДДВ, правото на одбивка на претходен данок може да се оствари ако даночниот обврзник ги употребува набавените или увезените добра, односно примените услуги за цели на неговата стопанска дејност, врз основа на фактура која е издадена во согласност со член 53 и 53-б од ЗДДВ, или царинска декларација во која е посебно искажан платениот данок за увозот или актот од член 53 став (2) и Извештајот од член 43-а став (2) од овој закон и ако тие документи се евидентирани во книговодството на даночниот обврзник.</w:t>
      </w:r>
    </w:p>
    <w:p w14:paraId="59BDD320"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Правото на одбивка на претходниот данок настанува во моментот во кој се исполнети сите услови пропишани со членовите 33 и 34 од ЗДДВ. Исклучоците во поглед на враќање на претходниот данок се регулирани со членот 35 од ЗДДВ. </w:t>
      </w:r>
    </w:p>
    <w:p w14:paraId="625948B7"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Согласно член 35 точка 2 од ЗДДВ, даночниот обврзник, нема право на одбивка на претходниот данок за набавки, производство и увоз на велосипеди, моторни возила со помалку од четири тркала (категорија Л), возила за превоз на патници, кои, покрај седиштето на возачот, имаат најмногу до осум седишта и чија најголема маса не надминува 3500 кг (категорија М1), исклучувајќи ги возилата за комбиниран превоз, летала, пловни објекти, како и резервни делови, гориво и потрошен материјал за нив, нивно изнајмување, одржување и поправка и за други услуги поврзани со нивно користење. Ова не важи во случаите, кога даночниот обврзник ги користи превозните средства или другите добра во даночниот период исклучиво за следните дејности:</w:t>
      </w:r>
    </w:p>
    <w:p w14:paraId="1647895F"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         а) промет со наведените превозни средства и други средства,</w:t>
      </w:r>
    </w:p>
    <w:p w14:paraId="516DC2C6"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         б) изнајмување на наведените превозни средства,</w:t>
      </w:r>
    </w:p>
    <w:p w14:paraId="7AD607C8"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         в) превоз со наведените превозни средства;</w:t>
      </w:r>
    </w:p>
    <w:p w14:paraId="7FF58C66"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         г) обука на возачи со нив,</w:t>
      </w:r>
    </w:p>
    <w:p w14:paraId="0A1811EE"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         д) одржување и поправка на наведените превозни средства и други добра.</w:t>
      </w:r>
    </w:p>
    <w:p w14:paraId="58748817"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Освен во случаите од а) до д) од точката 2 на членот 35 од ЗДДВ, правото на одбивка на претходни даноци секогаш е исклучено за даноците кои настанале при набавката, производството, изнајмувањето или увозот на превозните средства наведени во членот 35 точка 2 реченица 1 од ЗДДВ, дури и во случаите кога даночниот обврзник ги користи овие превозни средства исклучиво за цели на неговата стопанска дејност. Ова важи за сите издатоци поврзани со користењето на ваквите превозни средства, особено за набавка на резервни делови (на пр. автомобилски гуми), гориво и потрошен материјал (на пр. моторно масло или средства за нега на возилото), како и за услуги поврзани со користењето на наведените превозни средства (на пр. трошоци за одржување или поправка, за паркирање, надоместоци за изнајмување гаражи).</w:t>
      </w:r>
    </w:p>
    <w:p w14:paraId="0995AFC7" w14:textId="77777777" w:rsidR="00884CE8" w:rsidRPr="003E3F7E" w:rsidRDefault="00884CE8" w:rsidP="00884CE8">
      <w:pPr>
        <w:rPr>
          <w:rFonts w:eastAsia="Times New Roman"/>
          <w:color w:val="auto"/>
          <w:sz w:val="20"/>
          <w:szCs w:val="18"/>
        </w:rPr>
      </w:pPr>
      <w:r w:rsidRPr="003E3F7E">
        <w:rPr>
          <w:rFonts w:eastAsia="Times New Roman"/>
          <w:color w:val="auto"/>
          <w:sz w:val="20"/>
          <w:szCs w:val="18"/>
        </w:rPr>
        <w:t xml:space="preserve">Даночен обврзник кој не врши дејност наведена во членот 35 точка 2 реченица 2 алинеи од а) до д) од ЗДДВ (промет, изнајмување, одржување, поправка и превоз со превозни средства, како и обука на </w:t>
      </w:r>
      <w:r w:rsidRPr="003E3F7E">
        <w:rPr>
          <w:rFonts w:eastAsia="Times New Roman"/>
          <w:color w:val="auto"/>
          <w:sz w:val="20"/>
          <w:szCs w:val="18"/>
        </w:rPr>
        <w:lastRenderedPageBreak/>
        <w:t>возачи), нема право на одбивка на претходен данок за услуги поврзани со користењето на превозни средства наведени во членот 35 точка 2 реченица 1 од ЗДДВ (велосипеди, моторни возила со помалку од четири тркала (категорија Л), возила за превоз на патници (категорија М1), летала, пловни објекти).</w:t>
      </w:r>
    </w:p>
    <w:p w14:paraId="4E851B77" w14:textId="77777777" w:rsidR="00884CE8" w:rsidRPr="003E3F7E" w:rsidRDefault="00884CE8" w:rsidP="00884CE8">
      <w:pPr>
        <w:rPr>
          <w:rFonts w:eastAsia="Times New Roman"/>
          <w:color w:val="auto"/>
          <w:sz w:val="20"/>
          <w:szCs w:val="18"/>
          <w:lang w:val="ru-RU"/>
        </w:rPr>
      </w:pPr>
      <w:r w:rsidRPr="003E3F7E">
        <w:rPr>
          <w:rFonts w:eastAsia="Times New Roman"/>
          <w:color w:val="auto"/>
          <w:sz w:val="20"/>
          <w:szCs w:val="18"/>
        </w:rPr>
        <w:t>Согласно напред наведеното, на мислење сме дека даночниот обврзник кој врши информатички услуги нема право на одбивка на претходен данок за услугите за закуп на паркинг места/гаражи за патнички возила (категорија М1) согласно членот 35 точка 2 од ЗДДВ.</w:t>
      </w:r>
    </w:p>
    <w:p w14:paraId="193B1196" w14:textId="084F0276" w:rsidR="009157F7" w:rsidRPr="00884CE8" w:rsidRDefault="009157F7" w:rsidP="00884CE8">
      <w:pPr>
        <w:rPr>
          <w:lang w:val="ru-RU"/>
        </w:rPr>
      </w:pPr>
    </w:p>
    <w:sectPr w:rsidR="009157F7" w:rsidRPr="00884CE8"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D9B31" w14:textId="77777777" w:rsidR="008150C4" w:rsidRPr="001F0481" w:rsidRDefault="008150C4" w:rsidP="00805345">
      <w:r w:rsidRPr="001F0481">
        <w:separator/>
      </w:r>
    </w:p>
  </w:endnote>
  <w:endnote w:type="continuationSeparator" w:id="0">
    <w:p w14:paraId="4B8CA2DD" w14:textId="77777777" w:rsidR="008150C4" w:rsidRPr="001F0481" w:rsidRDefault="008150C4"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2F75F" w14:textId="77777777" w:rsidR="008150C4" w:rsidRPr="001F0481" w:rsidRDefault="008150C4" w:rsidP="00805345">
      <w:r w:rsidRPr="001F0481">
        <w:separator/>
      </w:r>
    </w:p>
  </w:footnote>
  <w:footnote w:type="continuationSeparator" w:id="0">
    <w:p w14:paraId="7489AA3D" w14:textId="77777777" w:rsidR="008150C4" w:rsidRPr="001F0481" w:rsidRDefault="008150C4"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0C4"/>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609</Words>
  <Characters>3477</Characters>
  <Application>Microsoft Office Word</Application>
  <DocSecurity>0</DocSecurity>
  <Lines>28</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4078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2025-10-21T11:49:00Z</dcterms:created>
  <dcterms:modified xsi:type="dcterms:W3CDTF">2025-10-21T11:49:00Z</dcterms:modified>
</cp:coreProperties>
</file>