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B1ACB" w14:textId="77777777" w:rsidR="001810ED" w:rsidRPr="003E3F7E" w:rsidRDefault="001810ED" w:rsidP="001810ED">
      <w:pPr>
        <w:pStyle w:val="a1"/>
      </w:pPr>
      <w:r w:rsidRPr="003E3F7E">
        <w:t>МИСЛЕЊЕ од 18.12.2024</w:t>
      </w:r>
      <w:r w:rsidRPr="003E3F7E">
        <w:rPr>
          <w:lang w:val="ru-RU"/>
        </w:rPr>
        <w:t>:</w:t>
      </w:r>
      <w:r w:rsidRPr="003E3F7E">
        <w:t xml:space="preserve"> </w:t>
      </w:r>
    </w:p>
    <w:p w14:paraId="798FC4C5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  <w:lang w:val="ru-RU"/>
        </w:rPr>
      </w:pPr>
    </w:p>
    <w:p w14:paraId="1B7CB068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Почитувани,        </w:t>
      </w:r>
    </w:p>
    <w:p w14:paraId="19883C8E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  <w:lang w:val="ru-RU"/>
        </w:rPr>
      </w:pPr>
    </w:p>
    <w:p w14:paraId="1A87E4F6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прашање, Ве известуваме за следното:    </w:t>
      </w:r>
    </w:p>
    <w:p w14:paraId="6A676EE2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точка 1 од Законот за данокот на додадена вредност (“Сл. Весник на РМ” бр. 44/99...198/18 и “Сл.Весник на РСМ” бр: 98/19….199/23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1D15B2D0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Промет на услуги претставува секоја дејност која не е промет на добра во смисла на член 3 од ЗДДВ (член 6 став 1 од ЗДДВ).</w:t>
      </w:r>
    </w:p>
    <w:p w14:paraId="64799FD1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32-а став 1 точка 1 од ЗДДВ,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28F4EEFE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(“Сл.весник на РМ” бр.45/14.... 160/16, Службен весник на РСМ, бр. 278/21...202/22),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5781467C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членот 2 од Одлуката се наведени промети на добра и услуги на кои се применува механизмот на пренесување на даночната обврска согласно член 32-а од ЗДДВ.</w:t>
      </w:r>
    </w:p>
    <w:p w14:paraId="1579F670" w14:textId="77777777" w:rsidR="001810ED" w:rsidRPr="003E3F7E" w:rsidRDefault="001810ED" w:rsidP="001810E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Имајќи ги во предвид наведените промети на добра и услуги во членот 2 од Одлуката, на мислење сме дека даночниот обврзник кој врши производство и монтажа на алуминиумски перголи, врши промет на добра и услуги кој не потпаѓа под одредбите од член 32-а од ЗДДВ и во фактурата издадена кон примателот на прометот има обврска да пресмета данок на додадена вредност согласно член 3 и 6 од ЗДДВ.</w:t>
      </w:r>
    </w:p>
    <w:p w14:paraId="193B1196" w14:textId="1FA43885" w:rsidR="009157F7" w:rsidRPr="001810ED" w:rsidRDefault="009157F7" w:rsidP="001810ED"/>
    <w:sectPr w:rsidR="009157F7" w:rsidRPr="001810ED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D4DC9" w14:textId="77777777" w:rsidR="00210295" w:rsidRPr="001F0481" w:rsidRDefault="00210295" w:rsidP="00805345">
      <w:r w:rsidRPr="001F0481">
        <w:separator/>
      </w:r>
    </w:p>
  </w:endnote>
  <w:endnote w:type="continuationSeparator" w:id="0">
    <w:p w14:paraId="66DB8111" w14:textId="77777777" w:rsidR="00210295" w:rsidRPr="001F0481" w:rsidRDefault="00210295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D4559" w14:textId="77777777" w:rsidR="00210295" w:rsidRPr="001F0481" w:rsidRDefault="00210295" w:rsidP="00805345">
      <w:r w:rsidRPr="001F0481">
        <w:separator/>
      </w:r>
    </w:p>
  </w:footnote>
  <w:footnote w:type="continuationSeparator" w:id="0">
    <w:p w14:paraId="7BA6FC6F" w14:textId="77777777" w:rsidR="00210295" w:rsidRPr="001F0481" w:rsidRDefault="00210295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0887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2F8"/>
    <w:rsid w:val="00174744"/>
    <w:rsid w:val="001758FF"/>
    <w:rsid w:val="0017756E"/>
    <w:rsid w:val="001810ED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95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B42D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24E7"/>
    <w:rsid w:val="004524F7"/>
    <w:rsid w:val="0045421D"/>
    <w:rsid w:val="0045618C"/>
    <w:rsid w:val="004668D8"/>
    <w:rsid w:val="00471E98"/>
    <w:rsid w:val="0047329C"/>
    <w:rsid w:val="00473FB6"/>
    <w:rsid w:val="004773CE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11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3389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1CA7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0F9F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77877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3DDB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0D05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6348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16FAB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955B0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12B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769C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1412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0B88"/>
    <w:rsid w:val="00B630BA"/>
    <w:rsid w:val="00B711D3"/>
    <w:rsid w:val="00B71B9C"/>
    <w:rsid w:val="00B72F7B"/>
    <w:rsid w:val="00B73556"/>
    <w:rsid w:val="00B76CA2"/>
    <w:rsid w:val="00B7773A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073DF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8B9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0B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3CE4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2185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2025-10-09T12:43:00Z</dcterms:created>
  <dcterms:modified xsi:type="dcterms:W3CDTF">2025-10-09T12:43:00Z</dcterms:modified>
</cp:coreProperties>
</file>