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4241B"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МИСЛЕЊЕ од 22.11.2024:</w:t>
      </w:r>
    </w:p>
    <w:p w14:paraId="14E9ECFD" w14:textId="77777777" w:rsidR="00B7773A" w:rsidRPr="00B7773A" w:rsidRDefault="00B7773A" w:rsidP="00B7773A">
      <w:pPr>
        <w:rPr>
          <w:rStyle w:val="Char1"/>
          <w:rFonts w:eastAsia="Calibri"/>
          <w:b w:val="0"/>
          <w:bCs w:val="0"/>
          <w:sz w:val="20"/>
          <w:szCs w:val="20"/>
        </w:rPr>
      </w:pPr>
    </w:p>
    <w:p w14:paraId="6D355CD5"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 xml:space="preserve">Почитувани,    </w:t>
      </w:r>
    </w:p>
    <w:p w14:paraId="333736B0"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 xml:space="preserve">    </w:t>
      </w:r>
    </w:p>
    <w:p w14:paraId="6839D993"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 xml:space="preserve">Во врска со Вашето прашање, Управата за јавни приходи-Генерална дирекција Скопје, Ве известува за следното:  </w:t>
      </w:r>
    </w:p>
    <w:p w14:paraId="0E5CBBDD"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 xml:space="preserve"> Согласно член 2 точка 1 од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169FD080"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 xml:space="preserve">Според член 3 став 1 од ЗДДВ, промет на добра претставува преносот на правото на располагање со движен или недвижен материјален имот. </w:t>
      </w:r>
    </w:p>
    <w:p w14:paraId="0C0E6F5B"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Согласно член 28 од ЗДДВ, данокот на додадена вредност се пресметува со примена на пропорционални даночни стапки врз даночна основа за оданочивиот промет на стоки и услуги и тоа:</w:t>
      </w:r>
    </w:p>
    <w:p w14:paraId="20D2BA05"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1.според општата даночна стапка од 18%,</w:t>
      </w:r>
    </w:p>
    <w:p w14:paraId="4F3721FD"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2.според повластената даночна стапка од 5% и од 10%.</w:t>
      </w:r>
    </w:p>
    <w:p w14:paraId="111FCE64"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 xml:space="preserve">Согласно член 30 став 1 точка 14 од ЗДДВ повластена даночна стапка од 5% се применува врз првиот промет на станбени згради и станови во оној дел во кој истите се користат за станбени цели и кој ќе се изврши во рок до пет години по изградбата. </w:t>
      </w:r>
    </w:p>
    <w:p w14:paraId="0C3D7FE3"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Согласно напред наведеното, првиот промет со станбени згради и станови кои се користат за станбени цели и кој промет ќе се изврши во рок до пет години по изградбата, подлежи на оданочување со данокот на додадена вредност со примена на повластена даночната стапка.</w:t>
      </w:r>
    </w:p>
    <w:p w14:paraId="2E5FEBBA"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 xml:space="preserve">Во случаите кога гаражата, паркингот и помошните простории се во промет заедно со станбената зграда и станот на кои им припаѓаат, се смета дека станува збор за промет на станбена зграда и стан на кои се применува повластена даночна стапка и на прометот на гаража, паркинг места или помошни простории ќе се примени  повластената даночна стапка од 5%. </w:t>
      </w:r>
    </w:p>
    <w:p w14:paraId="30E30441"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Кога предмет на прометот е само гаража, паркинг место или помошни простории, данокот на додадена вредност се пресметува по општа даночна стапка од 18%.</w:t>
      </w:r>
    </w:p>
    <w:p w14:paraId="1027089C"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Кога предмет на прометот е деловен простор данокот на додадена вредност се пресметува по општа даночна стапка од 18%.</w:t>
      </w:r>
    </w:p>
    <w:p w14:paraId="4481F7BA" w14:textId="77777777" w:rsidR="00B7773A" w:rsidRPr="00B7773A" w:rsidRDefault="00B7773A" w:rsidP="00B7773A">
      <w:pPr>
        <w:rPr>
          <w:rStyle w:val="Char1"/>
          <w:rFonts w:eastAsia="Calibri"/>
          <w:b w:val="0"/>
          <w:bCs w:val="0"/>
          <w:sz w:val="20"/>
          <w:szCs w:val="20"/>
        </w:rPr>
      </w:pPr>
      <w:r w:rsidRPr="00B7773A">
        <w:rPr>
          <w:rStyle w:val="Char1"/>
          <w:rFonts w:eastAsia="Calibri"/>
          <w:b w:val="0"/>
          <w:bCs w:val="0"/>
          <w:sz w:val="20"/>
          <w:szCs w:val="20"/>
        </w:rPr>
        <w:t>Согласно член 45 став 1 од ЗДДВ, ако износот на претходниот данок во одреден даночен период е поголем од износот на данокот кој е пресметан за прометот кој го извршил, како и за прометот за кои тој е даночен должник според членот 32-а од овој закон, разликата му се враќа на даночниот обврзник врз основа на негово барање кое го искажува во даночната пријава.Ако даночниот обврзник не искаже барање за враќање на разликата искажана во даночната пријава, таквата разлика се пренесува како даночна аконтација за следниот даночен период.</w:t>
      </w:r>
    </w:p>
    <w:p w14:paraId="193B1196" w14:textId="4909771B" w:rsidR="009157F7" w:rsidRPr="00B7773A" w:rsidRDefault="00B7773A" w:rsidP="00B7773A">
      <w:pPr>
        <w:rPr>
          <w:b/>
          <w:bCs/>
        </w:rPr>
      </w:pPr>
      <w:r w:rsidRPr="00B7773A">
        <w:rPr>
          <w:rStyle w:val="Char1"/>
          <w:rFonts w:eastAsia="Calibri"/>
          <w:b w:val="0"/>
          <w:bCs w:val="0"/>
          <w:sz w:val="20"/>
          <w:szCs w:val="20"/>
        </w:rPr>
        <w:t>Согласно член 45 став 2  од ЗДДВ, неплатените даноци (данок на додадена вредност и други даноци) на даночниот обврзник, како и казнените камати за нив се пребиваат со побарувањата за исплата.</w:t>
      </w:r>
    </w:p>
    <w:sectPr w:rsidR="009157F7" w:rsidRPr="00B7773A"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22A4D" w14:textId="77777777" w:rsidR="007F4BE4" w:rsidRPr="001F0481" w:rsidRDefault="007F4BE4" w:rsidP="00805345">
      <w:r w:rsidRPr="001F0481">
        <w:separator/>
      </w:r>
    </w:p>
  </w:endnote>
  <w:endnote w:type="continuationSeparator" w:id="0">
    <w:p w14:paraId="539C90E5" w14:textId="77777777" w:rsidR="007F4BE4" w:rsidRPr="001F0481" w:rsidRDefault="007F4BE4"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5B57F" w14:textId="77777777" w:rsidR="007F4BE4" w:rsidRPr="001F0481" w:rsidRDefault="007F4BE4" w:rsidP="00805345">
      <w:r w:rsidRPr="001F0481">
        <w:separator/>
      </w:r>
    </w:p>
  </w:footnote>
  <w:footnote w:type="continuationSeparator" w:id="0">
    <w:p w14:paraId="0D395868" w14:textId="77777777" w:rsidR="007F4BE4" w:rsidRPr="001F0481" w:rsidRDefault="007F4BE4"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7F4BE4"/>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416</Words>
  <Characters>2376</Characters>
  <Application>Microsoft Office Word</Application>
  <DocSecurity>0</DocSecurity>
  <Lines>19</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2787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2025-10-09T12:42:00Z</dcterms:created>
  <dcterms:modified xsi:type="dcterms:W3CDTF">2025-10-09T12:42:00Z</dcterms:modified>
</cp:coreProperties>
</file>