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899C2" w14:textId="77777777" w:rsidR="009E312B" w:rsidRPr="003E3F7E" w:rsidRDefault="009E312B" w:rsidP="009E312B">
      <w:pPr>
        <w:pStyle w:val="a1"/>
        <w:rPr>
          <w:lang w:val="ru-RU"/>
        </w:rPr>
      </w:pPr>
      <w:r w:rsidRPr="003E3F7E">
        <w:t>МИСЛЕЊЕ од 02.01.2025</w:t>
      </w:r>
      <w:r w:rsidRPr="003E3F7E">
        <w:rPr>
          <w:lang w:val="ru-RU"/>
        </w:rPr>
        <w:t>:</w:t>
      </w:r>
    </w:p>
    <w:p w14:paraId="33BF5F39"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 </w:t>
      </w:r>
    </w:p>
    <w:p w14:paraId="4FB4ECF1"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Почитувани, </w:t>
      </w:r>
    </w:p>
    <w:p w14:paraId="6AF2AE38"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       </w:t>
      </w:r>
    </w:p>
    <w:p w14:paraId="7B127DEC"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Во врска со Вашето прашање, Управата за јавни приходи-Генерална дирекција Скопје, Ве известува за следното:  </w:t>
      </w:r>
    </w:p>
    <w:p w14:paraId="0F75B003"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 Согласно член 32-а став 1 точка 1 од Законот за данокот на додадена вредност (“Сл. Весник на РМ”бр. 44/99.....198/18 и “Сл. Весник на РСМ” бр: 98/19........и 199/23, во натамошниот текст ЗДДВ), по исклучок од членот 32 точка 1 од ЗДДВ, даночен должник е даночниот обврзник регистриран за целите на ДДВ кон кого од страна на друг даночен обврзник регистриран за целите на ДДВ, се извршени промети на добра и услуги кои се поврзани со градење, вклучувајќи одржување, реконструкција и отстранување на градби или нивни делови, кога примател на прометот е инвеститорот, а вршителот на прометот е изведувачот на работите и во случај кога примател на прометот е изведувачот, а вршител на прометот е подизведувачот на работите, согласно со законот со кој се уредува градењето.</w:t>
      </w:r>
    </w:p>
    <w:p w14:paraId="30EE1E82"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(“Сл. весник на РМ” бр. 45/14.... 160/16, и “Сл. весник на РСМ” бр. 278/21….202/22), поблиску ги определува добрата и услугите за кои даночен должник е даночниот обврзник кон кого е извршен промет од страна на друг даночен обврзник.</w:t>
      </w:r>
    </w:p>
    <w:p w14:paraId="3A153CA4"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Во членот 2 став 1 од Одлуката, се наведени прометите на добра и услуги кои се поврзани со градење, вклучувајќи одржување, реконструкција и отстранување на градби или нивни делови на кои се применува механизмот на пренесување на даночната обврска согласно член 32-а од ЗДДВ.</w:t>
      </w:r>
    </w:p>
    <w:p w14:paraId="5BC42A21"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  Согласно член 33 од ЗДДВ, претходен данок е износот за кој се намалува данокот на додадена вредност што се должи за извршениот промет за одреден даночен период. </w:t>
      </w:r>
    </w:p>
    <w:p w14:paraId="0F9129EE"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   Претходниот данок се однесува на: </w:t>
      </w:r>
    </w:p>
    <w:p w14:paraId="4F023F31"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   1.Данокот на додадена вредност за прометот кој е извршен спрема даночниот обврзник од страна на други даночни обврзници; </w:t>
      </w:r>
    </w:p>
    <w:p w14:paraId="243F0954"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   2.Данокот на додадена вредност за плаќања кои даночниот обврзник ги извршил за промет кој сеуште не е извршен спрема него и </w:t>
      </w:r>
    </w:p>
    <w:p w14:paraId="21559CC8"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   3.Данокот на додадена вредност кој е платен за увозот на добра.</w:t>
      </w:r>
    </w:p>
    <w:p w14:paraId="6C6C6026"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 Правото на одбивка, согласно член 34 став 1 од ЗДДВ, даночниот обврзник може да го оствари ако набавените или увезените добра, односно примените услуги ги употребува за цели на неговата стопанска дејност, врз основа на фактура која е издадена во согласност со член 53 и 53-б од ЗДДВ или фискална сметка чиј вкупен промет не надминува 6.000 денари издадена согласно со Закон за регистрирање на готовински плаќања, или царинска декларација во која е посебно искажан платениот данок за увозот или актите и  извештаите од членот 53 став 2 од ЗДДВ и ако тие документи се евидентирани во книговодството на даночниот обврзник.</w:t>
      </w:r>
    </w:p>
    <w:p w14:paraId="14B17430"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Правото на одбивка на претходниот данок настанува во моментот во кој се исполнети сите услови пропишани со членовите 33 и 34 од ЗДДВ. Исклучоците во поглед на враќање на претходниот данок се регулирани со членот 35 од ЗДДВ.</w:t>
      </w:r>
    </w:p>
    <w:p w14:paraId="76C31BF1"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Доколку даночен обврзник регистриран за целите на ДДВ врши градежни услуги кои се наведени во Одлуката, кон друг даночен обврзник регистриран за целите на ДДВ, во тој случај прометот потпаѓа под одредбите од член 32-а од ЗДДВ. </w:t>
      </w:r>
    </w:p>
    <w:p w14:paraId="3613E9D5" w14:textId="77777777" w:rsidR="009E312B" w:rsidRPr="003E3F7E" w:rsidRDefault="009E312B" w:rsidP="009E312B">
      <w:pPr>
        <w:rPr>
          <w:rFonts w:eastAsia="Times New Roman"/>
          <w:color w:val="auto"/>
          <w:sz w:val="20"/>
          <w:szCs w:val="18"/>
        </w:rPr>
      </w:pPr>
      <w:r w:rsidRPr="003E3F7E">
        <w:rPr>
          <w:rFonts w:eastAsia="Times New Roman"/>
          <w:color w:val="auto"/>
          <w:sz w:val="20"/>
          <w:szCs w:val="18"/>
        </w:rPr>
        <w:t xml:space="preserve">Согласно напред наведеното, даночниот обврзник-примател на прометот има обврска да го пресмета данокот на додадена вредност и да го искаже во полињата 16, 17, 18 и 19 од ДДВ пријавата, зависно од применетата даночна стапка за ДДВ. Доколку даночниот обврзник-примател на прометот нема право </w:t>
      </w:r>
      <w:r w:rsidRPr="003E3F7E">
        <w:rPr>
          <w:rFonts w:eastAsia="Times New Roman"/>
          <w:color w:val="auto"/>
          <w:sz w:val="20"/>
          <w:szCs w:val="18"/>
        </w:rPr>
        <w:lastRenderedPageBreak/>
        <w:t xml:space="preserve">на одбивка на претходен данок согласно членовите 33, 34 и 35 од ЗДДВ, пресметаниот данок согласно член 32-а од ЗДДВ не го искажува во ДДВ пријавата во полињата 25 и 26 од ЗДДВ, како влезен промет со право на одбивка.  </w:t>
      </w:r>
    </w:p>
    <w:p w14:paraId="193B1196" w14:textId="1EE286E9" w:rsidR="009157F7" w:rsidRPr="009E312B" w:rsidRDefault="009157F7" w:rsidP="009E312B"/>
    <w:sectPr w:rsidR="009157F7" w:rsidRPr="009E312B"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8417A" w14:textId="77777777" w:rsidR="00CF20B5" w:rsidRPr="001F0481" w:rsidRDefault="00CF20B5" w:rsidP="00805345">
      <w:r w:rsidRPr="001F0481">
        <w:separator/>
      </w:r>
    </w:p>
  </w:endnote>
  <w:endnote w:type="continuationSeparator" w:id="0">
    <w:p w14:paraId="0016131B" w14:textId="77777777" w:rsidR="00CF20B5" w:rsidRPr="001F0481" w:rsidRDefault="00CF20B5"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C44D9" w14:textId="77777777" w:rsidR="00CF20B5" w:rsidRPr="001F0481" w:rsidRDefault="00CF20B5" w:rsidP="00805345">
      <w:r w:rsidRPr="001F0481">
        <w:separator/>
      </w:r>
    </w:p>
  </w:footnote>
  <w:footnote w:type="continuationSeparator" w:id="0">
    <w:p w14:paraId="725D1E12" w14:textId="77777777" w:rsidR="00CF20B5" w:rsidRPr="001F0481" w:rsidRDefault="00CF20B5"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20B5"/>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557</Words>
  <Characters>3175</Characters>
  <Application>Microsoft Office Word</Application>
  <DocSecurity>0</DocSecurity>
  <Lines>26</Lines>
  <Paragraphs>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3725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2025-10-09T12:20:00Z</dcterms:created>
  <dcterms:modified xsi:type="dcterms:W3CDTF">2025-10-09T12:20:00Z</dcterms:modified>
</cp:coreProperties>
</file>