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A85CB" w14:textId="77777777" w:rsidR="006D0F9F" w:rsidRPr="003E3F7E" w:rsidRDefault="006D0F9F" w:rsidP="006D0F9F">
      <w:pPr>
        <w:pStyle w:val="a1"/>
        <w:rPr>
          <w:lang w:val="ru-RU"/>
        </w:rPr>
      </w:pPr>
      <w:r w:rsidRPr="003E3F7E">
        <w:t>МИСЛЕЊЕ од 30.12.2024</w:t>
      </w:r>
      <w:r w:rsidRPr="003E3F7E">
        <w:rPr>
          <w:lang w:val="ru-RU"/>
        </w:rPr>
        <w:t>:</w:t>
      </w:r>
    </w:p>
    <w:p w14:paraId="47DB77B7" w14:textId="77777777" w:rsidR="006D0F9F" w:rsidRPr="003E3F7E" w:rsidRDefault="006D0F9F" w:rsidP="006D0F9F">
      <w:pPr>
        <w:rPr>
          <w:rFonts w:eastAsia="Times New Roman"/>
          <w:color w:val="auto"/>
          <w:sz w:val="20"/>
          <w:szCs w:val="18"/>
        </w:rPr>
      </w:pPr>
    </w:p>
    <w:p w14:paraId="498C7F72"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Почитувани,</w:t>
      </w:r>
    </w:p>
    <w:p w14:paraId="2E021BB2" w14:textId="77777777" w:rsidR="006D0F9F" w:rsidRPr="003E3F7E" w:rsidRDefault="006D0F9F" w:rsidP="006D0F9F">
      <w:pPr>
        <w:rPr>
          <w:rFonts w:eastAsia="Times New Roman"/>
          <w:color w:val="auto"/>
          <w:sz w:val="20"/>
          <w:szCs w:val="18"/>
        </w:rPr>
      </w:pPr>
    </w:p>
    <w:p w14:paraId="21ED48FE"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Во врска со Вашето барање на мислење, Управата за јавни приходи-Генерална Дирекција Скопје,  Ве известува:</w:t>
      </w:r>
    </w:p>
    <w:p w14:paraId="2715FD22"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Во Законот за облигациони односи (“Сл.Весник на РМ” бр.18/01…123/13 и “Сл.Весник на РСМ” бр.215/21 … 154/23, во натамошниот текст ЗОО) во членовите 71, 72 и 73 пропишани се одредби за капар, а во членовите 74 и 75 пропишани се одредби за пишманлак.</w:t>
      </w:r>
    </w:p>
    <w:p w14:paraId="119CD86C"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Ако во моментот на склучување на договорот едната страна и дала на другата извесен паричен износ (капар) како знак дека договорот е склучен, договорот се смета склучен кога капарот е даден, ако не е договорено нешто друго. Во случај на исполнување на договорот капарот мора да се врати или да се засмета во исполнувањето на обврската (член 71 ставови 1 и 2 од ЗОО). </w:t>
      </w:r>
    </w:p>
    <w:p w14:paraId="49275D42"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Ако за неизвршувањето на договорот е одговорна страната која дала капар, другата страна може, по свој избор, да бара извршување на договорот, ако тоа уште е возможно и да бара надомест на штетата, а капарот да го засмета во надоместот или да го врати или да се задоволи со примениот капар.  Ако за неизвршувањето на договорот е одговорна страната која го примила капарот, другата страна може, по свој избор, да бара извршување  на договорот ако  тоа  уште е  возможно или да бара надомест на штетата  и враќање на капарот, или да бара враќање на удвоен капар (член 72 ставови 1 и 2 од ЗОО).  </w:t>
      </w:r>
    </w:p>
    <w:p w14:paraId="06318565"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Во случај на делумно исполнување на обврската, доверителот не може да го задржи капарот, туку може да бара исполнување на остатокот од обврската и надомест на штетата поради задоцнувањето, или да бара надомест на штетата поради нецелосното исполнување, но во двата случаи капарот се засметува во надоместот. Ако доверителот го раскине договорот и го врати она што го примил како делумно исполнување, тој може да избира меѓу другите барања што и припаѓаат на едната страна кога договорот останал неизвршен по вина на другата (член 73 од ЗОО).</w:t>
      </w:r>
    </w:p>
    <w:p w14:paraId="34D7340E"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Од аспект на Законот за данокот на додадена вредност:</w:t>
      </w:r>
    </w:p>
    <w:p w14:paraId="3EF4D80D"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Согласно член 2 став 1 од Законот за данокот на додадена вредност (“Сл.Весник на РМ” бр.44/99…198/18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                         </w:t>
      </w:r>
    </w:p>
    <w:p w14:paraId="521131D4"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Промет на добра во смисла на член 3 став 1 од ЗДДВ,  претставува преносот на правото на располагање со движен или недвижен материјален имот. </w:t>
      </w:r>
    </w:p>
    <w:p w14:paraId="78B17A50"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Согласно член 31 став 1 од ЗДДВ, даночниот долг настанува:</w:t>
      </w:r>
    </w:p>
    <w:p w14:paraId="4BAE4945"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1. Во моментот кога е извршен прометот на доброто. Кога доброто се превезува или испраќа, се смета моментот на започнување на превозот или на испраќањето. Кога прометот вклучува монтирање или инсталирање, се смета моментот кога соодветните работи се завршени и</w:t>
      </w:r>
    </w:p>
    <w:p w14:paraId="783DBFCB"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2. Во моментот кога услугата е целосно извршена.</w:t>
      </w:r>
    </w:p>
    <w:p w14:paraId="73F3C5E1"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Во случај кога плаќањето е извршено пред извршувањето на прометот, согласно член 31 став 2 од ЗДДВ, време на настанување на даночниот долг е моментот кога е добиено плаќањето, во висина на данокот за добиениот износ. </w:t>
      </w:r>
    </w:p>
    <w:p w14:paraId="69FB41BF"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Плаќањето настанува во моментот на прием на надоместокот или делумниот надоместок. Плаќањата доведуваат до настанување на данокот, доколку истите се вршат за одреден промет.</w:t>
      </w:r>
    </w:p>
    <w:p w14:paraId="671623B6"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Согласно член 53 став 4 од ЗДДВ, даночниот обврзник издава фактура за секое плаќање кое го добива однапред (аванс), пред да биде извршен прометот.</w:t>
      </w:r>
    </w:p>
    <w:p w14:paraId="5764E976"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Од фактурите за плаќања извршени пред извршување на прометот мора да се гледа дека со нив се врши пресметување на авансни плаќања. </w:t>
      </w:r>
    </w:p>
    <w:p w14:paraId="555D46BB"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lastRenderedPageBreak/>
        <w:t>Кога се добива надоместок пред да биде извршен прометот, фактурата се издава истиот ден кога авансното плаќање е добиено, а најдоцна во рок од пет работни дена (член 53 став  9 од ЗДДВ).</w:t>
      </w:r>
    </w:p>
    <w:p w14:paraId="766F5F3A"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Во конечната фактура, со која даночниот обврзник врши севкупна пресметка за извршениот промет на добра или за извршените услуги, се минусираат надоместоците или делумните износи примени пред извршување на прометот, како и износите на данокот кој настанал за нив, доколку за овој надоместок или делумен износ биле издадени фактури според член 53 став 4 од ЗДДВ (авансни фактури). Конечната фактура од која се одземаат целосните или делумните надоместоци, мора да биде означена како “конечна фактура”.</w:t>
      </w:r>
    </w:p>
    <w:p w14:paraId="29A53878"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Пресметувањето на данокот на додадена вредност се врши со примена на даночната стапка која е во сила во моментот кога се врши прометот на доброто.</w:t>
      </w:r>
    </w:p>
    <w:p w14:paraId="42742BEF"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 Од аспект на Законот за регистрирање на готовинскиот промет:</w:t>
      </w:r>
    </w:p>
    <w:p w14:paraId="7DC64F94"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 xml:space="preserve">  Согласно член 2 став 1 од Законот за регистрирање на готовинскиот промет („Службен весник на РСМ” бр.31/01...,247/22), даночните обврзници кои вршат промет на добра и промет на услуги за кој плаќањето не се извршува по банкарски пат должни се да воведат и користат одобрен фискален систем на опрема за регистрирање на готовински плаќања и задолжително да издаваат сметка за извршениот промет, односно услугата.</w:t>
      </w:r>
    </w:p>
    <w:p w14:paraId="3BE7E637"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Преку фискалните апарати можни се неколку начини за евидентирање на капарот и тоа :</w:t>
      </w:r>
    </w:p>
    <w:p w14:paraId="4A7792CA" w14:textId="77777777" w:rsidR="006D0F9F" w:rsidRPr="003E3F7E" w:rsidRDefault="006D0F9F" w:rsidP="006D0F9F">
      <w:pPr>
        <w:numPr>
          <w:ilvl w:val="0"/>
          <w:numId w:val="5"/>
        </w:numPr>
        <w:rPr>
          <w:rFonts w:eastAsia="Times New Roman"/>
          <w:color w:val="auto"/>
          <w:sz w:val="20"/>
          <w:szCs w:val="18"/>
        </w:rPr>
      </w:pPr>
      <w:r w:rsidRPr="003E3F7E">
        <w:rPr>
          <w:rFonts w:eastAsia="Times New Roman"/>
          <w:color w:val="auto"/>
          <w:sz w:val="20"/>
          <w:szCs w:val="18"/>
        </w:rPr>
        <w:t>Во фискалниот апарат се внесува шифра капар (со опис за одреден производ или услуга) со одредена вредност и вкалкулиран ДДВ (за даночни обврзници регистрирани за целите на ДДВ). Кога се врши доплата на остатокот од износот се прави сторно на фискалната сметка со капарот. Притоа купувачот односно корисникот на услугата е должен да ја приложи фискалната сметка со капарот. По сторнирањето на износот на капарот се издава фискална сметка со целиот износ на доброто односно услугата, а купувачот односно корисникот на услугата плаќа во висина на доплатата.</w:t>
      </w:r>
    </w:p>
    <w:p w14:paraId="68471BCF" w14:textId="77777777" w:rsidR="006D0F9F" w:rsidRPr="003E3F7E" w:rsidRDefault="006D0F9F" w:rsidP="006D0F9F">
      <w:pPr>
        <w:rPr>
          <w:rFonts w:eastAsia="Times New Roman"/>
          <w:color w:val="auto"/>
          <w:sz w:val="20"/>
          <w:szCs w:val="18"/>
        </w:rPr>
      </w:pPr>
    </w:p>
    <w:p w14:paraId="0B02B888" w14:textId="77777777" w:rsidR="006D0F9F" w:rsidRPr="003E3F7E" w:rsidRDefault="006D0F9F" w:rsidP="006D0F9F">
      <w:pPr>
        <w:numPr>
          <w:ilvl w:val="0"/>
          <w:numId w:val="5"/>
        </w:numPr>
        <w:rPr>
          <w:rFonts w:eastAsia="Times New Roman"/>
          <w:color w:val="auto"/>
          <w:sz w:val="20"/>
          <w:szCs w:val="18"/>
        </w:rPr>
      </w:pPr>
      <w:r w:rsidRPr="003E3F7E">
        <w:rPr>
          <w:rFonts w:eastAsia="Times New Roman"/>
          <w:color w:val="auto"/>
          <w:sz w:val="20"/>
          <w:szCs w:val="18"/>
        </w:rPr>
        <w:t xml:space="preserve">Во фискалниот апарат се внесуваат повеќе шифри со опис капар (со опис за одреден производ или услуга) со различни износи на капар со вкалкулиран ДДВ кој ги определува самиот даночен обврзник. Исто така на овие шифри и износи на капар се внесуваат шифри со доплата за капар, односно на разликата меѓу примениот капар и вкупниот износ. Во овој случај на давателот на капарот му се издава фискална сметка со опис капар 1 во висина на вредноста која ја дава со вкалкулиран ДДВ. Кога давателот на капарот врши доплата на останатиот дел од вредноста, примателот на капарот му издава фискална сметка во висина на доплатата на капарот со опис доплата за капар 1.  </w:t>
      </w:r>
    </w:p>
    <w:p w14:paraId="026DF534" w14:textId="77777777" w:rsidR="006D0F9F" w:rsidRPr="003E3F7E" w:rsidRDefault="006D0F9F" w:rsidP="006D0F9F">
      <w:pPr>
        <w:rPr>
          <w:rFonts w:eastAsia="Times New Roman"/>
          <w:color w:val="auto"/>
          <w:sz w:val="20"/>
          <w:szCs w:val="18"/>
        </w:rPr>
      </w:pPr>
      <w:r w:rsidRPr="003E3F7E">
        <w:rPr>
          <w:rFonts w:eastAsia="Times New Roman"/>
          <w:color w:val="auto"/>
          <w:sz w:val="20"/>
          <w:szCs w:val="18"/>
        </w:rPr>
        <w:t>Горенаведените можности се примери како би можело да се евидентира капар, но даночниот обврзник може самостојно да определи начин на евидентирање на капарот кој ќе биде во согласност со одредбите од Законот за регистрирање на готовинските плаќања.</w:t>
      </w:r>
    </w:p>
    <w:p w14:paraId="193B1196" w14:textId="1EE286E9" w:rsidR="009157F7" w:rsidRPr="006D0F9F" w:rsidRDefault="009157F7" w:rsidP="006D0F9F"/>
    <w:sectPr w:rsidR="009157F7" w:rsidRPr="006D0F9F"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567BD" w14:textId="77777777" w:rsidR="0071626F" w:rsidRPr="001F0481" w:rsidRDefault="0071626F" w:rsidP="00805345">
      <w:r w:rsidRPr="001F0481">
        <w:separator/>
      </w:r>
    </w:p>
  </w:endnote>
  <w:endnote w:type="continuationSeparator" w:id="0">
    <w:p w14:paraId="46A79286" w14:textId="77777777" w:rsidR="0071626F" w:rsidRPr="001F0481" w:rsidRDefault="0071626F"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4BF54" w14:textId="77777777" w:rsidR="0071626F" w:rsidRPr="001F0481" w:rsidRDefault="0071626F" w:rsidP="00805345">
      <w:r w:rsidRPr="001F0481">
        <w:separator/>
      </w:r>
    </w:p>
  </w:footnote>
  <w:footnote w:type="continuationSeparator" w:id="0">
    <w:p w14:paraId="0133C7B5" w14:textId="77777777" w:rsidR="0071626F" w:rsidRPr="001F0481" w:rsidRDefault="0071626F"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1626F"/>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951</Words>
  <Characters>5427</Characters>
  <Application>Microsoft Office Word</Application>
  <DocSecurity>0</DocSecurity>
  <Lines>45</Lines>
  <Paragraphs>12</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6366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2025-10-09T11:58:00Z</dcterms:created>
  <dcterms:modified xsi:type="dcterms:W3CDTF">2025-10-09T11:58:00Z</dcterms:modified>
</cp:coreProperties>
</file>