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56CF6" w14:textId="77777777" w:rsidR="002904A2" w:rsidRPr="003F04E5" w:rsidRDefault="002904A2" w:rsidP="002904A2">
      <w:pPr>
        <w:spacing w:before="120" w:after="120"/>
        <w:rPr>
          <w:b/>
          <w:sz w:val="20"/>
          <w:szCs w:val="20"/>
        </w:rPr>
      </w:pPr>
      <w:r w:rsidRPr="003F04E5">
        <w:rPr>
          <w:b/>
          <w:sz w:val="20"/>
          <w:szCs w:val="20"/>
        </w:rPr>
        <w:t>МИСЛЕЊЕ од 01.07.2025:</w:t>
      </w:r>
    </w:p>
    <w:p w14:paraId="3941CAE5" w14:textId="77777777" w:rsidR="002904A2" w:rsidRPr="003F04E5" w:rsidRDefault="002904A2" w:rsidP="002904A2">
      <w:pPr>
        <w:spacing w:before="120" w:after="120"/>
        <w:rPr>
          <w:bCs/>
          <w:sz w:val="20"/>
          <w:szCs w:val="20"/>
        </w:rPr>
      </w:pPr>
    </w:p>
    <w:p w14:paraId="2C118F81" w14:textId="77777777" w:rsidR="002904A2" w:rsidRPr="003F04E5" w:rsidRDefault="002904A2" w:rsidP="002904A2">
      <w:pPr>
        <w:jc w:val="both"/>
        <w:rPr>
          <w:sz w:val="20"/>
          <w:szCs w:val="20"/>
          <w:lang w:val="ru-RU"/>
        </w:rPr>
      </w:pPr>
      <w:r w:rsidRPr="003F04E5">
        <w:rPr>
          <w:sz w:val="20"/>
          <w:szCs w:val="20"/>
          <w:lang w:val="ru-RU"/>
        </w:rPr>
        <w:t>Почитувани,</w:t>
      </w:r>
    </w:p>
    <w:p w14:paraId="38BB1950" w14:textId="77777777" w:rsidR="002904A2" w:rsidRPr="003F04E5" w:rsidRDefault="002904A2" w:rsidP="002904A2">
      <w:pPr>
        <w:ind w:firstLine="720"/>
        <w:jc w:val="both"/>
        <w:rPr>
          <w:sz w:val="20"/>
          <w:szCs w:val="20"/>
          <w:lang w:val="ru-RU"/>
        </w:rPr>
      </w:pPr>
    </w:p>
    <w:p w14:paraId="7CC6D68B" w14:textId="77777777" w:rsidR="002904A2" w:rsidRPr="003F04E5" w:rsidRDefault="002904A2" w:rsidP="002904A2">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73219372" w14:textId="77777777" w:rsidR="002904A2" w:rsidRPr="003F04E5" w:rsidRDefault="002904A2" w:rsidP="002904A2">
      <w:pPr>
        <w:shd w:val="clear" w:color="auto" w:fill="FFFFFF"/>
        <w:jc w:val="both"/>
        <w:rPr>
          <w:rFonts w:cs="StobiSerifRegular"/>
          <w:b/>
          <w:color w:val="auto"/>
          <w:sz w:val="20"/>
          <w:szCs w:val="20"/>
          <w:lang w:val="ru-RU"/>
        </w:rPr>
      </w:pPr>
    </w:p>
    <w:p w14:paraId="6A226D7B" w14:textId="77777777" w:rsidR="002904A2" w:rsidRPr="003F04E5" w:rsidRDefault="002904A2" w:rsidP="002904A2">
      <w:pPr>
        <w:spacing w:before="120" w:after="120"/>
        <w:rPr>
          <w:bCs/>
          <w:color w:val="auto"/>
          <w:sz w:val="20"/>
          <w:szCs w:val="20"/>
        </w:rPr>
      </w:pPr>
      <w:r w:rsidRPr="003F04E5">
        <w:rPr>
          <w:bCs/>
          <w:color w:val="auto"/>
          <w:sz w:val="20"/>
          <w:szCs w:val="20"/>
        </w:rPr>
        <w:t>Според член 7 од Законот за данокот на добивка, објавен во Сл. весник на РСМ, бр.112/2014 … 199/2023, (во натамошниот текст: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45CEE545" w14:textId="77777777" w:rsidR="002904A2" w:rsidRPr="003F04E5" w:rsidRDefault="002904A2" w:rsidP="002904A2">
      <w:pPr>
        <w:spacing w:before="120" w:after="120"/>
        <w:rPr>
          <w:bCs/>
          <w:color w:val="auto"/>
          <w:sz w:val="20"/>
          <w:szCs w:val="20"/>
        </w:rPr>
      </w:pPr>
      <w:r w:rsidRPr="003F04E5">
        <w:rPr>
          <w:bCs/>
          <w:color w:val="auto"/>
          <w:sz w:val="20"/>
          <w:szCs w:val="20"/>
        </w:rPr>
        <w:t xml:space="preserve">Согласно член 16 од ЗДД, две лица се сметаат за поврзани кога: </w:t>
      </w:r>
    </w:p>
    <w:p w14:paraId="2D3E5CE3" w14:textId="77777777" w:rsidR="002904A2" w:rsidRPr="003F04E5" w:rsidRDefault="002904A2" w:rsidP="002904A2">
      <w:pPr>
        <w:spacing w:before="120" w:after="120"/>
        <w:rPr>
          <w:bCs/>
          <w:color w:val="auto"/>
          <w:sz w:val="20"/>
          <w:szCs w:val="20"/>
        </w:rPr>
      </w:pPr>
      <w:r w:rsidRPr="003F04E5">
        <w:rPr>
          <w:bCs/>
          <w:color w:val="auto"/>
          <w:sz w:val="20"/>
          <w:szCs w:val="20"/>
        </w:rPr>
        <w:t xml:space="preserve">1) Едното од нив стекнало, непосредно или преку друг субјект, удел или акции кои во основната главнина на другото лице се претставени со најмалку 20% или кога му припаѓаат најмалку 20% од сите гласови на собирот на содружниците, односно на собранието; </w:t>
      </w:r>
    </w:p>
    <w:p w14:paraId="4C7E3B9E" w14:textId="77777777" w:rsidR="002904A2" w:rsidRPr="003F04E5" w:rsidRDefault="002904A2" w:rsidP="002904A2">
      <w:pPr>
        <w:spacing w:before="120" w:after="120"/>
        <w:rPr>
          <w:bCs/>
          <w:color w:val="auto"/>
          <w:sz w:val="20"/>
          <w:szCs w:val="20"/>
        </w:rPr>
      </w:pPr>
      <w:r w:rsidRPr="003F04E5">
        <w:rPr>
          <w:bCs/>
          <w:color w:val="auto"/>
          <w:sz w:val="20"/>
          <w:szCs w:val="20"/>
        </w:rPr>
        <w:t xml:space="preserve">2) Кое било трето лице, непосредно или преку друг субјект, стекнало удел или акции кои во основната главнина во секое од поврзаните лица се претставени со најмалку 20%, или кога на лицето му припаѓаат најмалку 20% од сите гласови на собирот на содружниците, односно на собранието, на секое од поврзаните лица; </w:t>
      </w:r>
    </w:p>
    <w:p w14:paraId="21C1FD5C" w14:textId="77777777" w:rsidR="002904A2" w:rsidRPr="003F04E5" w:rsidRDefault="002904A2" w:rsidP="002904A2">
      <w:pPr>
        <w:spacing w:before="120" w:after="120"/>
        <w:rPr>
          <w:bCs/>
          <w:color w:val="auto"/>
          <w:sz w:val="20"/>
          <w:szCs w:val="20"/>
        </w:rPr>
      </w:pPr>
      <w:r w:rsidRPr="003F04E5">
        <w:rPr>
          <w:bCs/>
          <w:color w:val="auto"/>
          <w:sz w:val="20"/>
          <w:szCs w:val="20"/>
        </w:rPr>
        <w:t>3) Еден или повеќе извршни или неизвршни директори или членови на управниот или надзорниот одбор на едното лице, се извршни или неизвршни директори или членови на управниот или надзорниот одбор во другото лице;</w:t>
      </w:r>
    </w:p>
    <w:p w14:paraId="2A21678C" w14:textId="77777777" w:rsidR="002904A2" w:rsidRPr="003F04E5" w:rsidRDefault="002904A2" w:rsidP="002904A2">
      <w:pPr>
        <w:spacing w:before="120" w:after="120"/>
        <w:rPr>
          <w:bCs/>
          <w:color w:val="auto"/>
          <w:sz w:val="20"/>
          <w:szCs w:val="20"/>
        </w:rPr>
      </w:pPr>
      <w:r w:rsidRPr="003F04E5">
        <w:rPr>
          <w:bCs/>
          <w:color w:val="auto"/>
          <w:sz w:val="20"/>
          <w:szCs w:val="20"/>
        </w:rPr>
        <w:t xml:space="preserve"> 4) Заем доделен или гарантиран од едното лице сочинува повеќе од 20% од книговодствената вредност на вкупните средства на другото лице;</w:t>
      </w:r>
    </w:p>
    <w:p w14:paraId="5E8E3761" w14:textId="77777777" w:rsidR="002904A2" w:rsidRPr="003F04E5" w:rsidRDefault="002904A2" w:rsidP="002904A2">
      <w:pPr>
        <w:spacing w:before="120" w:after="120"/>
        <w:rPr>
          <w:bCs/>
          <w:color w:val="auto"/>
          <w:sz w:val="20"/>
          <w:szCs w:val="20"/>
        </w:rPr>
      </w:pPr>
      <w:r w:rsidRPr="003F04E5">
        <w:rPr>
          <w:bCs/>
          <w:color w:val="auto"/>
          <w:sz w:val="20"/>
          <w:szCs w:val="20"/>
        </w:rPr>
        <w:t xml:space="preserve"> 5) Едното лице, непосредно или преку друг субјект, добива најмалку 20% од добивката на другото лице, како резултат на договор за деловна соработка помеѓу двете лица; </w:t>
      </w:r>
    </w:p>
    <w:p w14:paraId="10EF760F" w14:textId="77777777" w:rsidR="002904A2" w:rsidRPr="003F04E5" w:rsidRDefault="002904A2" w:rsidP="002904A2">
      <w:pPr>
        <w:spacing w:before="120" w:after="120"/>
        <w:rPr>
          <w:bCs/>
          <w:color w:val="auto"/>
          <w:sz w:val="20"/>
          <w:szCs w:val="20"/>
        </w:rPr>
      </w:pPr>
      <w:r w:rsidRPr="003F04E5">
        <w:rPr>
          <w:bCs/>
          <w:color w:val="auto"/>
          <w:sz w:val="20"/>
          <w:szCs w:val="20"/>
        </w:rPr>
        <w:t xml:space="preserve">6) Едното лице е постојана деловна единица на друго лице; </w:t>
      </w:r>
    </w:p>
    <w:p w14:paraId="4D90CD8D" w14:textId="77777777" w:rsidR="002904A2" w:rsidRPr="003F04E5" w:rsidRDefault="002904A2" w:rsidP="002904A2">
      <w:pPr>
        <w:spacing w:before="120" w:after="120"/>
        <w:rPr>
          <w:bCs/>
          <w:color w:val="auto"/>
          <w:sz w:val="20"/>
          <w:szCs w:val="20"/>
        </w:rPr>
      </w:pPr>
      <w:r w:rsidRPr="003F04E5">
        <w:rPr>
          <w:bCs/>
          <w:color w:val="auto"/>
          <w:sz w:val="20"/>
          <w:szCs w:val="20"/>
        </w:rPr>
        <w:t xml:space="preserve">7) Едното лице врши деловни и финансиски трансакции со друго лице кое е резидент на држава во која стапката на данок на добивка е 25% пониска од стапката на данок на добивка во Република Северна Македонија. </w:t>
      </w:r>
    </w:p>
    <w:p w14:paraId="472A8B97" w14:textId="77777777" w:rsidR="002904A2" w:rsidRPr="003F04E5" w:rsidRDefault="002904A2" w:rsidP="002904A2">
      <w:pPr>
        <w:spacing w:before="120" w:after="120"/>
        <w:rPr>
          <w:bCs/>
          <w:color w:val="auto"/>
          <w:sz w:val="20"/>
          <w:szCs w:val="20"/>
        </w:rPr>
      </w:pPr>
      <w:r w:rsidRPr="003F04E5">
        <w:rPr>
          <w:bCs/>
          <w:color w:val="auto"/>
          <w:sz w:val="20"/>
          <w:szCs w:val="20"/>
        </w:rPr>
        <w:t>За целта на точки 1) и 2) уделот, акциите или гласачките права на физичко лице се сметаат заедно со истите на брачниот другар, роднините по права линија, браќата, сестрите, хранителите и посвоителите.</w:t>
      </w:r>
    </w:p>
    <w:p w14:paraId="4639F2E0" w14:textId="77777777" w:rsidR="002904A2" w:rsidRPr="003F04E5" w:rsidRDefault="002904A2" w:rsidP="002904A2">
      <w:pPr>
        <w:spacing w:before="120" w:after="120"/>
        <w:rPr>
          <w:bCs/>
          <w:color w:val="auto"/>
          <w:sz w:val="20"/>
          <w:szCs w:val="20"/>
        </w:rPr>
      </w:pPr>
      <w:r w:rsidRPr="003F04E5">
        <w:rPr>
          <w:bCs/>
          <w:color w:val="auto"/>
          <w:sz w:val="20"/>
          <w:szCs w:val="20"/>
        </w:rPr>
        <w:t xml:space="preserve">Согласно член 12 став 1 од ЗДД, непризнаен расход и помалку искажан приход за даночни цели е позитивната разлика меѓу цената на извршената деловна или финансиска трансакција меѓу поврзани лица (трансферната цена) и пазарната цена и тоа: </w:t>
      </w:r>
    </w:p>
    <w:p w14:paraId="38275F1B" w14:textId="77777777" w:rsidR="002904A2" w:rsidRPr="003F04E5" w:rsidRDefault="002904A2" w:rsidP="002904A2">
      <w:pPr>
        <w:spacing w:before="120" w:after="120"/>
        <w:rPr>
          <w:bCs/>
          <w:color w:val="auto"/>
          <w:sz w:val="20"/>
          <w:szCs w:val="20"/>
        </w:rPr>
      </w:pPr>
      <w:r w:rsidRPr="003F04E5">
        <w:rPr>
          <w:bCs/>
          <w:color w:val="auto"/>
          <w:sz w:val="20"/>
          <w:szCs w:val="20"/>
        </w:rPr>
        <w:t xml:space="preserve">1) износот на позитивната разлика помеѓу расходите кои произлегуваат од трансакцијата по трансферната цена и расходите кои произлегуваат од таа трансакција по цена утврдена во согласност со принципот на „дофат на рака“ (arm’s length principle) или </w:t>
      </w:r>
    </w:p>
    <w:p w14:paraId="59785F94" w14:textId="77777777" w:rsidR="002904A2" w:rsidRPr="003F04E5" w:rsidRDefault="002904A2" w:rsidP="002904A2">
      <w:pPr>
        <w:spacing w:before="120" w:after="120"/>
        <w:rPr>
          <w:bCs/>
          <w:color w:val="auto"/>
          <w:sz w:val="20"/>
          <w:szCs w:val="20"/>
        </w:rPr>
      </w:pPr>
      <w:r w:rsidRPr="003F04E5">
        <w:rPr>
          <w:bCs/>
          <w:color w:val="auto"/>
          <w:sz w:val="20"/>
          <w:szCs w:val="20"/>
        </w:rPr>
        <w:lastRenderedPageBreak/>
        <w:t xml:space="preserve">2) износот на позитивната разлика помеѓу приходите кои произлегуваат од трансакцијата по цена утврдена во согласност со принципот на „дофат на рака“ и приходите кои произлегуваат од таа трансакција по трансферната цена. </w:t>
      </w:r>
    </w:p>
    <w:p w14:paraId="79F7A99F" w14:textId="77777777" w:rsidR="002904A2" w:rsidRPr="003F04E5" w:rsidRDefault="002904A2" w:rsidP="002904A2">
      <w:pPr>
        <w:spacing w:before="120" w:after="120"/>
        <w:rPr>
          <w:bCs/>
          <w:color w:val="auto"/>
          <w:sz w:val="20"/>
          <w:szCs w:val="20"/>
        </w:rPr>
      </w:pPr>
      <w:r w:rsidRPr="003F04E5">
        <w:rPr>
          <w:bCs/>
          <w:color w:val="auto"/>
          <w:sz w:val="20"/>
          <w:szCs w:val="20"/>
        </w:rPr>
        <w:t xml:space="preserve">Принципот на „дофат на рака“ подразбира дека деловните и финансиски трансакции помеѓу поврзаните лица се вршат по цени и според услови во кои тие трансакции не се разликуваат од оние помеѓу неповрзани лица во споредливи околности (член 12 став 2 од ЗДД). Принципот  на „дофат на рака“ се однесува на сите трансакции помеѓу поврзани лица, вклучувајќи ги и оние кои се однесуваат на: материјален и нематеријален имот, деловни и финансиски услуги, внатрегрупациски услуги, надоместоци за авторски права, акции, деривати, други хартии од вредност, други финансиски инструменти и какви било други трансакции што можат да влијаат врз добивката или загубата на поврзаните лица (член 12 став 3 од ЗДД). </w:t>
      </w:r>
    </w:p>
    <w:p w14:paraId="2D333871" w14:textId="77777777" w:rsidR="002904A2" w:rsidRPr="003F04E5" w:rsidRDefault="002904A2" w:rsidP="002904A2">
      <w:pPr>
        <w:spacing w:before="120" w:after="120"/>
        <w:rPr>
          <w:bCs/>
          <w:color w:val="auto"/>
          <w:sz w:val="20"/>
          <w:szCs w:val="20"/>
        </w:rPr>
      </w:pPr>
      <w:r w:rsidRPr="003F04E5">
        <w:rPr>
          <w:bCs/>
          <w:color w:val="auto"/>
          <w:sz w:val="20"/>
          <w:szCs w:val="20"/>
        </w:rPr>
        <w:t xml:space="preserve">Согласно член 12-а и 12-б од ЗДД, македонскиот даночен обврзник кој остварил вкупен годишен приход над 300 милиони МКД и кој во деловната година има трансакции со нерезидентни поврзани лица во износ над 10 милиони МКД, има обврска да изготви и чува извештај за трансферни цени, во кој ќе документира дали трансакциите со поврзаните лица се во согласност со принципот на „дофат на рака“. </w:t>
      </w:r>
    </w:p>
    <w:p w14:paraId="21090E4F" w14:textId="77777777" w:rsidR="002904A2" w:rsidRPr="003F04E5" w:rsidRDefault="002904A2" w:rsidP="002904A2">
      <w:pPr>
        <w:spacing w:before="120" w:after="120"/>
        <w:rPr>
          <w:bCs/>
          <w:color w:val="auto"/>
          <w:sz w:val="20"/>
          <w:szCs w:val="20"/>
        </w:rPr>
      </w:pPr>
    </w:p>
    <w:p w14:paraId="7376BC92" w14:textId="77777777" w:rsidR="002904A2" w:rsidRPr="003F04E5" w:rsidRDefault="002904A2" w:rsidP="002904A2">
      <w:pPr>
        <w:spacing w:before="120" w:after="120"/>
        <w:rPr>
          <w:bCs/>
          <w:color w:val="auto"/>
          <w:sz w:val="20"/>
          <w:szCs w:val="20"/>
        </w:rPr>
      </w:pPr>
      <w:r w:rsidRPr="003F04E5">
        <w:rPr>
          <w:bCs/>
          <w:color w:val="auto"/>
          <w:sz w:val="20"/>
          <w:szCs w:val="20"/>
        </w:rPr>
        <w:t xml:space="preserve">Формата и содржината на извештајот за трансферни цени, како и методите за анализа и тестирање на трансферните цени и нивната усогласеност со принципот на „дофат на рака“ се пропишани во член 12 став 4 и 5 од ЗДД, како и со Правилникот за формата и содржината на извештајот за трансферни цени, видовите методи за утврдување на цената на трансакцијата во согласност со принципот на „дофат на рака“ и начинот на нивна примена, објавен во Сл. весник на РСМ, бр. 59/19 (во натамошниот текст: „Правилникот за трансферни цени“). </w:t>
      </w:r>
    </w:p>
    <w:p w14:paraId="2D2D1F02" w14:textId="77777777" w:rsidR="002904A2" w:rsidRPr="003F04E5" w:rsidRDefault="002904A2" w:rsidP="002904A2">
      <w:pPr>
        <w:spacing w:before="120" w:after="120"/>
        <w:rPr>
          <w:bCs/>
          <w:color w:val="auto"/>
          <w:sz w:val="20"/>
          <w:szCs w:val="20"/>
        </w:rPr>
      </w:pPr>
      <w:r w:rsidRPr="003F04E5">
        <w:rPr>
          <w:bCs/>
          <w:color w:val="auto"/>
          <w:sz w:val="20"/>
          <w:szCs w:val="20"/>
        </w:rPr>
        <w:t xml:space="preserve">Дополнителни насоки во однос на третманот на каматите по заеми добиени или дадени на поврзано лице се дадени во член 4 став 3 точка 2 од Правилникот за начинот за пресметување и уплатување на данокот на добивка и спречување на двојно ослободување и двојно оданочување, објавен во Сл.весник на РСМ број 174/14 … 6/20 (во понатамошниот текст: ПДД). </w:t>
      </w:r>
    </w:p>
    <w:p w14:paraId="370B4DD8" w14:textId="77777777" w:rsidR="002904A2" w:rsidRPr="003F04E5" w:rsidRDefault="002904A2" w:rsidP="002904A2">
      <w:pPr>
        <w:spacing w:before="120" w:after="120"/>
        <w:rPr>
          <w:bCs/>
          <w:color w:val="auto"/>
          <w:sz w:val="20"/>
          <w:szCs w:val="20"/>
        </w:rPr>
      </w:pPr>
      <w:r w:rsidRPr="003F04E5">
        <w:rPr>
          <w:bCs/>
          <w:color w:val="auto"/>
          <w:sz w:val="20"/>
          <w:szCs w:val="20"/>
        </w:rPr>
        <w:t>Имено, согласно член 13 став 3 од ЗДД</w:t>
      </w:r>
      <w:r w:rsidRPr="003F04E5">
        <w:rPr>
          <w:sz w:val="20"/>
          <w:szCs w:val="20"/>
        </w:rPr>
        <w:t xml:space="preserve"> и </w:t>
      </w:r>
      <w:r w:rsidRPr="003F04E5">
        <w:rPr>
          <w:bCs/>
          <w:color w:val="auto"/>
          <w:sz w:val="20"/>
          <w:szCs w:val="20"/>
        </w:rPr>
        <w:t>член 4 став 3 точка 2 од ПДД, при утврдувањето на приходите од каматите на заеми дадени на поврзани лица, се признаваат пресметаните камати, најмалку до висината на каматните стапки, кои би се оствариле меѓу неповрзани лица, во моментот на одобрувањето на заемот.</w:t>
      </w:r>
    </w:p>
    <w:p w14:paraId="47B62133" w14:textId="77777777" w:rsidR="002904A2" w:rsidRPr="003F04E5" w:rsidRDefault="002904A2" w:rsidP="002904A2">
      <w:pPr>
        <w:spacing w:before="120" w:after="120"/>
        <w:rPr>
          <w:bCs/>
          <w:color w:val="auto"/>
          <w:sz w:val="20"/>
          <w:szCs w:val="20"/>
        </w:rPr>
      </w:pPr>
      <w:r w:rsidRPr="003F04E5">
        <w:rPr>
          <w:bCs/>
          <w:color w:val="auto"/>
          <w:sz w:val="20"/>
          <w:szCs w:val="20"/>
        </w:rPr>
        <w:t xml:space="preserve">Доколку пак даночниот обврзник не може евидентирано да докаже дека висината на каматната стапка кај дадениот заем е во согласност со каматната стапка која за споредлив заем би се остварила помеѓу неповрзани лица, тогаш за девизните кредити како приход ќе се признае најмалку до висината на EURIBOR стапката со соодветна рочност зголемени за еден процентен поен. </w:t>
      </w:r>
    </w:p>
    <w:p w14:paraId="3124712D" w14:textId="77777777" w:rsidR="002904A2" w:rsidRPr="003F04E5" w:rsidRDefault="002904A2" w:rsidP="002904A2">
      <w:pPr>
        <w:spacing w:before="120" w:after="120"/>
        <w:rPr>
          <w:bCs/>
          <w:color w:val="auto"/>
          <w:sz w:val="20"/>
          <w:szCs w:val="20"/>
        </w:rPr>
      </w:pPr>
      <w:r w:rsidRPr="003F04E5">
        <w:rPr>
          <w:bCs/>
          <w:color w:val="auto"/>
          <w:sz w:val="20"/>
          <w:szCs w:val="20"/>
        </w:rPr>
        <w:t xml:space="preserve">Како основ за определување на усогласеноста со принципот на „дофат на рака” на каматната стапка кај заем даден на поврзано лице, треба да се земе предвид каматната стапка на финансискиот пазар во РС Македонија или на меѓународен финансиски пазар која е остварена помеѓу неповрзани лица, за заеми кои се споредливи со заемот помеѓу поврзаните лица (член 13 став 4 од ЗДД ). </w:t>
      </w:r>
    </w:p>
    <w:p w14:paraId="5E16A868" w14:textId="77777777" w:rsidR="002904A2" w:rsidRPr="003F04E5" w:rsidRDefault="002904A2" w:rsidP="002904A2">
      <w:pPr>
        <w:spacing w:before="120" w:after="120"/>
        <w:rPr>
          <w:bCs/>
          <w:color w:val="auto"/>
          <w:sz w:val="20"/>
          <w:szCs w:val="20"/>
        </w:rPr>
      </w:pPr>
      <w:r w:rsidRPr="003F04E5">
        <w:rPr>
          <w:bCs/>
          <w:color w:val="auto"/>
          <w:sz w:val="20"/>
          <w:szCs w:val="20"/>
        </w:rPr>
        <w:t>Согласно член 39 став 5 од ЗДД, даночните обврзници кои изготвуваат и чуваат извештај за трансферни цени согласно членот 12-а од овој закон имаат обврска кон образецот „ДБ - даночен биланс за оданочување на добивка“, да достават Прилог со податоци за трансакции меѓу поврзани лица „П/ТЦ“.</w:t>
      </w:r>
    </w:p>
    <w:p w14:paraId="26478E8D" w14:textId="77777777" w:rsidR="002904A2" w:rsidRPr="003F04E5" w:rsidRDefault="002904A2" w:rsidP="002904A2">
      <w:pPr>
        <w:spacing w:before="120" w:after="120"/>
        <w:rPr>
          <w:rFonts w:cs="StobiSerif Regular"/>
          <w:bCs/>
          <w:color w:val="auto"/>
          <w:sz w:val="20"/>
          <w:szCs w:val="20"/>
        </w:rPr>
      </w:pPr>
      <w:r w:rsidRPr="003F04E5">
        <w:rPr>
          <w:rFonts w:cs="StobiSerif Regular"/>
          <w:bCs/>
          <w:color w:val="auto"/>
          <w:sz w:val="20"/>
          <w:szCs w:val="20"/>
        </w:rPr>
        <w:lastRenderedPageBreak/>
        <w:t>Согласно Упатството за пополнување на П-ТЦ образецот, на реден број 4 од образецот - Заеми, во колоната “Продажба”, треба да се искаже вкупниот износ на дадени заеми, односно нивната главница. Допонително, на реден број 6 од образецот – Камати, во колоната “Приходи” треба да се искаже збирот на износите на приходите од камати од дадените заеми.</w:t>
      </w:r>
    </w:p>
    <w:p w14:paraId="223478DD" w14:textId="77777777" w:rsidR="002904A2" w:rsidRPr="003F04E5" w:rsidRDefault="002904A2" w:rsidP="002904A2">
      <w:pPr>
        <w:spacing w:before="120" w:after="120"/>
        <w:rPr>
          <w:rFonts w:cs="StobiSerif Regular"/>
          <w:bCs/>
          <w:color w:val="auto"/>
          <w:sz w:val="20"/>
          <w:szCs w:val="20"/>
        </w:rPr>
      </w:pPr>
      <w:r w:rsidRPr="003F04E5">
        <w:rPr>
          <w:bCs/>
          <w:color w:val="auto"/>
          <w:sz w:val="20"/>
          <w:szCs w:val="20"/>
        </w:rPr>
        <w:t>Врз основа на одредбите цитирани погоре, како и од информациите наведени во Вашето прашање, на мислење сме дека:</w:t>
      </w:r>
    </w:p>
    <w:p w14:paraId="520D6E41" w14:textId="77777777" w:rsidR="002904A2" w:rsidRPr="003F04E5" w:rsidRDefault="002904A2" w:rsidP="002904A2">
      <w:pPr>
        <w:numPr>
          <w:ilvl w:val="0"/>
          <w:numId w:val="38"/>
        </w:numPr>
        <w:spacing w:before="120" w:after="120"/>
        <w:ind w:firstLine="0"/>
        <w:rPr>
          <w:bCs/>
          <w:color w:val="auto"/>
          <w:sz w:val="20"/>
          <w:szCs w:val="20"/>
        </w:rPr>
      </w:pPr>
      <w:r w:rsidRPr="003F04E5">
        <w:rPr>
          <w:bCs/>
          <w:color w:val="auto"/>
          <w:sz w:val="20"/>
          <w:szCs w:val="20"/>
        </w:rPr>
        <w:t>Доколку во деловната 2024 година друштвото Прима МК ДОО остварило годишен приход над 300 милиони МКД и има трансакции со нерезидентни поврзани лица во износ над 10 милиони МКД, согласно член 39 став 5 од ЗДД, за сите трансакции со  нерезидентни поврзани лица согласно критериумите утврдени во член 16 од ЗДД имате обврска кон образецот „ДБ“- Даночен биланс за оданочување на добивка за 2024 година, да доставите Прилог со податоци за трансакции меѓу поврзани лица, односно образец „П/ТЦ“.</w:t>
      </w:r>
    </w:p>
    <w:p w14:paraId="76914CEE" w14:textId="7B053CE4" w:rsidR="00301F66" w:rsidRPr="002904A2" w:rsidRDefault="002904A2" w:rsidP="002904A2">
      <w:pPr>
        <w:numPr>
          <w:ilvl w:val="0"/>
          <w:numId w:val="38"/>
        </w:numPr>
        <w:spacing w:before="120" w:after="120"/>
        <w:ind w:firstLine="0"/>
        <w:rPr>
          <w:bCs/>
          <w:color w:val="auto"/>
          <w:sz w:val="20"/>
          <w:szCs w:val="20"/>
        </w:rPr>
      </w:pPr>
      <w:r w:rsidRPr="003F04E5">
        <w:rPr>
          <w:bCs/>
          <w:color w:val="auto"/>
          <w:sz w:val="20"/>
          <w:szCs w:val="20"/>
        </w:rPr>
        <w:t>Притоа, на реден број 4 од П/ТЦ образецот - Заеми, во колоната “Продажба”, треба да го искажете вкупниот износ на заемот даден на нерезидентното поврзано лице, односно износот на главницата. Допонително, на реден број 6 од П/ТЦ образецот – Камати, во колоната “Приходи” треба да го искажете износот на остварен приход од камати од предметниот заем.</w:t>
      </w:r>
    </w:p>
    <w:sectPr w:rsidR="00301F66" w:rsidRPr="002904A2"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27447" w14:textId="77777777" w:rsidR="00B74DFC" w:rsidRPr="00C567EE" w:rsidRDefault="00B74DFC" w:rsidP="00805345">
      <w:r w:rsidRPr="00C567EE">
        <w:separator/>
      </w:r>
    </w:p>
  </w:endnote>
  <w:endnote w:type="continuationSeparator" w:id="0">
    <w:p w14:paraId="622DCA58" w14:textId="77777777" w:rsidR="00B74DFC" w:rsidRPr="00C567EE" w:rsidRDefault="00B74DFC"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12D23" w14:textId="77777777" w:rsidR="00B74DFC" w:rsidRPr="00C567EE" w:rsidRDefault="00B74DFC" w:rsidP="00805345">
      <w:r w:rsidRPr="00C567EE">
        <w:separator/>
      </w:r>
    </w:p>
  </w:footnote>
  <w:footnote w:type="continuationSeparator" w:id="0">
    <w:p w14:paraId="605602E9" w14:textId="77777777" w:rsidR="00B74DFC" w:rsidRPr="00C567EE" w:rsidRDefault="00B74DFC"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7"/>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6"/>
  </w:num>
  <w:num w:numId="35" w16cid:durableId="29001757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4DFC"/>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1135</Words>
  <Characters>6470</Characters>
  <Application>Microsoft Office Word</Application>
  <DocSecurity>0</DocSecurity>
  <Lines>53</Lines>
  <Paragraphs>15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7590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2025-10-22T10:58:00Z</dcterms:created>
  <dcterms:modified xsi:type="dcterms:W3CDTF">2025-10-22T10:58:00Z</dcterms:modified>
</cp:coreProperties>
</file>