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89306" w14:textId="77777777" w:rsidR="00301F66" w:rsidRPr="003F04E5" w:rsidRDefault="00301F66" w:rsidP="00301F66">
      <w:pPr>
        <w:spacing w:before="120" w:after="120"/>
        <w:rPr>
          <w:b/>
          <w:bCs/>
          <w:sz w:val="20"/>
          <w:szCs w:val="20"/>
          <w:lang w:val="ru-RU"/>
        </w:rPr>
      </w:pPr>
      <w:r w:rsidRPr="003F04E5">
        <w:rPr>
          <w:b/>
          <w:bCs/>
          <w:sz w:val="20"/>
          <w:szCs w:val="20"/>
        </w:rPr>
        <w:t>МИСЛЕЊЕ од 20.05.2025</w:t>
      </w:r>
      <w:r w:rsidRPr="003F04E5">
        <w:rPr>
          <w:b/>
          <w:bCs/>
          <w:sz w:val="20"/>
          <w:szCs w:val="20"/>
          <w:lang w:val="ru-RU"/>
        </w:rPr>
        <w:t>:</w:t>
      </w:r>
    </w:p>
    <w:p w14:paraId="59ED1197" w14:textId="77777777" w:rsidR="00301F66" w:rsidRPr="003F04E5" w:rsidRDefault="00301F66" w:rsidP="00301F66">
      <w:pPr>
        <w:jc w:val="both"/>
        <w:rPr>
          <w:sz w:val="20"/>
          <w:szCs w:val="20"/>
          <w:lang w:val="ru-RU"/>
        </w:rPr>
      </w:pPr>
      <w:r w:rsidRPr="003F04E5">
        <w:rPr>
          <w:sz w:val="20"/>
          <w:szCs w:val="20"/>
          <w:lang w:val="ru-RU"/>
        </w:rPr>
        <w:t>Почитувани,</w:t>
      </w:r>
    </w:p>
    <w:p w14:paraId="76C8A179" w14:textId="77777777" w:rsidR="00301F66" w:rsidRPr="003F04E5" w:rsidRDefault="00301F66" w:rsidP="00301F66">
      <w:pPr>
        <w:ind w:firstLine="720"/>
        <w:jc w:val="both"/>
        <w:rPr>
          <w:sz w:val="20"/>
          <w:szCs w:val="20"/>
          <w:lang w:val="ru-RU"/>
        </w:rPr>
      </w:pPr>
    </w:p>
    <w:p w14:paraId="09E79413" w14:textId="77777777" w:rsidR="00301F66" w:rsidRPr="003F04E5" w:rsidRDefault="00301F66" w:rsidP="00301F66">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14284CC9" w14:textId="77777777" w:rsidR="00301F66" w:rsidRPr="003F04E5" w:rsidRDefault="00301F66" w:rsidP="00301F66">
      <w:pPr>
        <w:shd w:val="clear" w:color="auto" w:fill="FFFFFF"/>
        <w:jc w:val="both"/>
        <w:rPr>
          <w:rFonts w:cs="StobiSerifRegular"/>
          <w:b/>
          <w:color w:val="auto"/>
          <w:sz w:val="20"/>
          <w:szCs w:val="20"/>
          <w:lang w:val="ru-RU"/>
        </w:rPr>
      </w:pPr>
    </w:p>
    <w:p w14:paraId="6916711E" w14:textId="77777777" w:rsidR="00301F66" w:rsidRPr="003F04E5" w:rsidRDefault="00301F66" w:rsidP="00301F66">
      <w:pPr>
        <w:spacing w:before="120" w:after="120"/>
        <w:rPr>
          <w:rFonts w:eastAsia="Times New Roman"/>
          <w:sz w:val="20"/>
          <w:szCs w:val="20"/>
        </w:rPr>
      </w:pPr>
      <w:r w:rsidRPr="003F04E5">
        <w:rPr>
          <w:rFonts w:eastAsia="Times New Roman"/>
          <w:sz w:val="20"/>
          <w:szCs w:val="20"/>
        </w:rPr>
        <w:t xml:space="preserve">Согласно член 45 од Законот за даночната постапка, </w:t>
      </w:r>
      <w:r w:rsidRPr="003F04E5">
        <w:rPr>
          <w:rFonts w:eastAsia="Times New Roman"/>
          <w:color w:val="auto"/>
          <w:sz w:val="20"/>
          <w:szCs w:val="20"/>
        </w:rPr>
        <w:t>објавен во Сл. весник на РМ, бр.13/06 … 3/25, (во натамошниот текст: ЗДП), даночниот обврзник е должен да води</w:t>
      </w:r>
      <w:r w:rsidRPr="003F04E5">
        <w:rPr>
          <w:rFonts w:eastAsia="Times New Roman"/>
          <w:sz w:val="20"/>
          <w:szCs w:val="20"/>
        </w:rPr>
        <w:t xml:space="preserve"> деловни книги и евиденции заради оданочување, доколку тие се регулирани со посебните даночни закони. </w:t>
      </w:r>
      <w:r w:rsidRPr="003F04E5">
        <w:rPr>
          <w:rFonts w:eastAsia="Times New Roman"/>
          <w:sz w:val="20"/>
          <w:szCs w:val="20"/>
          <w:u w:val="single"/>
        </w:rPr>
        <w:t>Обврските за водење на деловни книги и евиденции на кои што подлежи даночниот обврзник според други закони, треба да ги исполни и за оданочувањето</w:t>
      </w:r>
      <w:r w:rsidRPr="003F04E5">
        <w:rPr>
          <w:rFonts w:eastAsia="Times New Roman"/>
          <w:sz w:val="20"/>
          <w:szCs w:val="20"/>
        </w:rPr>
        <w:t xml:space="preserve">. Притоа, како деловни книги и евиденции, особено се сметаат: </w:t>
      </w:r>
    </w:p>
    <w:p w14:paraId="1CFE6B49" w14:textId="77777777" w:rsidR="00301F66" w:rsidRPr="003F04E5" w:rsidRDefault="00301F66" w:rsidP="00301F66">
      <w:pPr>
        <w:numPr>
          <w:ilvl w:val="0"/>
          <w:numId w:val="35"/>
        </w:numPr>
        <w:spacing w:before="120" w:after="120"/>
        <w:ind w:firstLine="0"/>
        <w:rPr>
          <w:rFonts w:eastAsia="Times New Roman"/>
          <w:sz w:val="20"/>
          <w:szCs w:val="20"/>
        </w:rPr>
      </w:pPr>
      <w:r w:rsidRPr="003F04E5">
        <w:rPr>
          <w:rFonts w:eastAsia="Times New Roman"/>
          <w:sz w:val="20"/>
          <w:szCs w:val="20"/>
        </w:rPr>
        <w:t xml:space="preserve">трговски книги, </w:t>
      </w:r>
      <w:r w:rsidRPr="003F04E5">
        <w:rPr>
          <w:rFonts w:eastAsia="Times New Roman"/>
          <w:sz w:val="20"/>
          <w:szCs w:val="20"/>
          <w:u w:val="single"/>
        </w:rPr>
        <w:t>сметководствени документи</w:t>
      </w:r>
      <w:r w:rsidRPr="003F04E5">
        <w:rPr>
          <w:rFonts w:eastAsia="Times New Roman"/>
          <w:sz w:val="20"/>
          <w:szCs w:val="20"/>
        </w:rPr>
        <w:t xml:space="preserve">, записи и пописи, </w:t>
      </w:r>
      <w:r w:rsidRPr="003F04E5">
        <w:rPr>
          <w:rFonts w:eastAsia="Times New Roman"/>
          <w:sz w:val="20"/>
          <w:szCs w:val="20"/>
          <w:u w:val="single"/>
        </w:rPr>
        <w:t>годишна сметка и финансиски извештаи, белешки за применети сметководствени политики</w:t>
      </w:r>
      <w:r w:rsidRPr="003F04E5">
        <w:rPr>
          <w:rFonts w:eastAsia="Times New Roman"/>
          <w:sz w:val="20"/>
          <w:szCs w:val="20"/>
        </w:rPr>
        <w:t xml:space="preserve"> и други документи во врска со организацијата; </w:t>
      </w:r>
    </w:p>
    <w:p w14:paraId="67668BC3" w14:textId="77777777" w:rsidR="00301F66" w:rsidRPr="003F04E5" w:rsidRDefault="00301F66" w:rsidP="00301F66">
      <w:pPr>
        <w:numPr>
          <w:ilvl w:val="0"/>
          <w:numId w:val="35"/>
        </w:numPr>
        <w:spacing w:before="120" w:after="120"/>
        <w:ind w:firstLine="0"/>
        <w:rPr>
          <w:rFonts w:eastAsia="Times New Roman"/>
          <w:sz w:val="20"/>
          <w:szCs w:val="20"/>
        </w:rPr>
      </w:pPr>
      <w:r w:rsidRPr="003F04E5">
        <w:rPr>
          <w:rFonts w:eastAsia="Times New Roman"/>
          <w:sz w:val="20"/>
          <w:szCs w:val="20"/>
        </w:rPr>
        <w:t xml:space="preserve">деловни писма и кореспонденции; </w:t>
      </w:r>
    </w:p>
    <w:p w14:paraId="640C932D" w14:textId="77777777" w:rsidR="00301F66" w:rsidRPr="003F04E5" w:rsidRDefault="00301F66" w:rsidP="00301F66">
      <w:pPr>
        <w:numPr>
          <w:ilvl w:val="0"/>
          <w:numId w:val="35"/>
        </w:numPr>
        <w:spacing w:before="120" w:after="120"/>
        <w:ind w:firstLine="0"/>
        <w:rPr>
          <w:rFonts w:eastAsia="Times New Roman"/>
          <w:sz w:val="20"/>
          <w:szCs w:val="20"/>
        </w:rPr>
      </w:pPr>
      <w:r w:rsidRPr="003F04E5">
        <w:rPr>
          <w:rFonts w:eastAsia="Times New Roman"/>
          <w:sz w:val="20"/>
          <w:szCs w:val="20"/>
          <w:u w:val="single"/>
        </w:rPr>
        <w:t>сметки за книжење</w:t>
      </w:r>
      <w:r w:rsidRPr="003F04E5">
        <w:rPr>
          <w:rFonts w:eastAsia="Times New Roman"/>
          <w:sz w:val="20"/>
          <w:szCs w:val="20"/>
        </w:rPr>
        <w:t>, како и</w:t>
      </w:r>
    </w:p>
    <w:p w14:paraId="51770F4C" w14:textId="77777777" w:rsidR="00301F66" w:rsidRPr="003F04E5" w:rsidRDefault="00301F66" w:rsidP="00301F66">
      <w:pPr>
        <w:numPr>
          <w:ilvl w:val="0"/>
          <w:numId w:val="35"/>
        </w:numPr>
        <w:spacing w:before="120" w:after="120"/>
        <w:ind w:firstLine="0"/>
        <w:rPr>
          <w:rFonts w:eastAsia="Times New Roman"/>
          <w:sz w:val="20"/>
          <w:szCs w:val="20"/>
        </w:rPr>
      </w:pPr>
      <w:r w:rsidRPr="003F04E5">
        <w:rPr>
          <w:rFonts w:eastAsia="Times New Roman"/>
          <w:sz w:val="20"/>
          <w:szCs w:val="20"/>
        </w:rPr>
        <w:t>други документи, доколку истите имаат значење за оданочување.</w:t>
      </w:r>
    </w:p>
    <w:p w14:paraId="5F92AA4D" w14:textId="77777777" w:rsidR="00301F66" w:rsidRPr="003F04E5" w:rsidRDefault="00301F66" w:rsidP="00301F66">
      <w:pPr>
        <w:spacing w:before="120" w:after="120"/>
        <w:rPr>
          <w:rFonts w:eastAsia="Times New Roman"/>
          <w:sz w:val="20"/>
          <w:szCs w:val="20"/>
        </w:rPr>
      </w:pPr>
      <w:r w:rsidRPr="003F04E5">
        <w:rPr>
          <w:rFonts w:eastAsia="Times New Roman"/>
          <w:sz w:val="20"/>
          <w:szCs w:val="20"/>
          <w:u w:val="single"/>
        </w:rPr>
        <w:t>Сметководството и евиденциите</w:t>
      </w:r>
      <w:r w:rsidRPr="003F04E5">
        <w:rPr>
          <w:rFonts w:eastAsia="Times New Roman"/>
          <w:sz w:val="20"/>
          <w:szCs w:val="20"/>
        </w:rPr>
        <w:t xml:space="preserve"> мора да се водат </w:t>
      </w:r>
      <w:r w:rsidRPr="003F04E5">
        <w:rPr>
          <w:rFonts w:eastAsia="Times New Roman"/>
          <w:sz w:val="20"/>
          <w:szCs w:val="20"/>
          <w:u w:val="single"/>
        </w:rPr>
        <w:t>во согласност со прописите од областа на сметководството</w:t>
      </w:r>
      <w:r w:rsidRPr="003F04E5">
        <w:rPr>
          <w:rFonts w:eastAsia="Times New Roman"/>
          <w:sz w:val="20"/>
          <w:szCs w:val="20"/>
        </w:rPr>
        <w:t xml:space="preserve"> и на начин да може и стручно трето лице во соодветен рок да стекне преглед над работењето на даночниот обврзник и деловните дејствија за нивното настанување, развој и завршување (член 46 од ЗДП).</w:t>
      </w:r>
    </w:p>
    <w:p w14:paraId="189C480E" w14:textId="77777777" w:rsidR="00301F66" w:rsidRPr="003F04E5" w:rsidRDefault="00301F66" w:rsidP="00301F66">
      <w:pPr>
        <w:spacing w:before="120" w:after="120"/>
        <w:rPr>
          <w:rFonts w:eastAsia="Times New Roman"/>
          <w:sz w:val="20"/>
          <w:szCs w:val="20"/>
        </w:rPr>
      </w:pPr>
      <w:r w:rsidRPr="003F04E5">
        <w:rPr>
          <w:rFonts w:eastAsia="Times New Roman"/>
          <w:sz w:val="20"/>
          <w:szCs w:val="20"/>
        </w:rPr>
        <w:t xml:space="preserve">Согласно член 47 став 1 и 2 од ЗДП, </w:t>
      </w:r>
      <w:r w:rsidRPr="003F04E5">
        <w:rPr>
          <w:rFonts w:eastAsia="Times New Roman"/>
          <w:sz w:val="20"/>
          <w:szCs w:val="20"/>
          <w:u w:val="single"/>
        </w:rPr>
        <w:t>книжењата и другите евидентирања</w:t>
      </w:r>
      <w:r w:rsidRPr="003F04E5">
        <w:rPr>
          <w:rFonts w:eastAsia="Times New Roman"/>
          <w:sz w:val="20"/>
          <w:szCs w:val="20"/>
        </w:rPr>
        <w:t xml:space="preserve">, и во електронска форма, треба да се извршат </w:t>
      </w:r>
      <w:r w:rsidRPr="003F04E5">
        <w:rPr>
          <w:rFonts w:eastAsia="Times New Roman"/>
          <w:sz w:val="20"/>
          <w:szCs w:val="20"/>
          <w:u w:val="single"/>
        </w:rPr>
        <w:t>целосно, точно, навремено, веродостојно и уредно</w:t>
      </w:r>
      <w:r w:rsidRPr="003F04E5">
        <w:rPr>
          <w:rFonts w:eastAsia="Times New Roman"/>
          <w:sz w:val="20"/>
          <w:szCs w:val="20"/>
        </w:rPr>
        <w:t>. Книжењето и друго евидентирање, и во електронска форма, не смее да се менува на начин што првобитната содржина повеќе не може да се утврди. Не смее да се вршат измени од такво значење да е неизвесно дали тие се спроведени претходно или дополнително.</w:t>
      </w:r>
    </w:p>
    <w:p w14:paraId="3E851322" w14:textId="77777777" w:rsidR="00301F66" w:rsidRPr="003F04E5" w:rsidRDefault="00301F66" w:rsidP="00301F66">
      <w:pPr>
        <w:spacing w:before="120" w:after="120"/>
        <w:rPr>
          <w:sz w:val="20"/>
          <w:szCs w:val="20"/>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123BD539" w14:textId="77777777" w:rsidR="00301F66" w:rsidRPr="003F04E5" w:rsidRDefault="00301F66" w:rsidP="00301F66">
      <w:pPr>
        <w:spacing w:before="120" w:after="120"/>
        <w:rPr>
          <w:rFonts w:eastAsia="Times New Roman"/>
          <w:sz w:val="20"/>
          <w:szCs w:val="20"/>
        </w:rPr>
      </w:pPr>
      <w:r w:rsidRPr="003F04E5">
        <w:rPr>
          <w:rFonts w:eastAsia="Times New Roman"/>
          <w:sz w:val="20"/>
          <w:szCs w:val="20"/>
        </w:rPr>
        <w:t xml:space="preserve">Делокругот на работа и даночните надлежности на УЈП се уредени со одредбите на Законот за управата за јавни приходи, објавен во Сл. весник на РМ, бр. 43/14 ... 87/23, </w:t>
      </w:r>
      <w:r w:rsidRPr="003F04E5">
        <w:rPr>
          <w:rFonts w:eastAsia="Times New Roman"/>
          <w:color w:val="auto"/>
          <w:sz w:val="20"/>
          <w:szCs w:val="20"/>
        </w:rPr>
        <w:t>(во натамошниот текст: Законот за УЈП)</w:t>
      </w:r>
      <w:r w:rsidRPr="003F04E5">
        <w:rPr>
          <w:rFonts w:eastAsia="Times New Roman"/>
          <w:sz w:val="20"/>
          <w:szCs w:val="20"/>
        </w:rPr>
        <w:t xml:space="preserve">. УЈП, согласно член 4 став 1 од Законот за УЈП, извршува управни и други стручни работи кои се однесуваат на </w:t>
      </w:r>
      <w:r w:rsidRPr="003F04E5">
        <w:rPr>
          <w:rFonts w:eastAsia="Times New Roman"/>
          <w:sz w:val="20"/>
          <w:szCs w:val="20"/>
          <w:u w:val="single"/>
        </w:rPr>
        <w:t>спроведување на законите и други прописи за даноците</w:t>
      </w:r>
      <w:r w:rsidRPr="003F04E5">
        <w:rPr>
          <w:rFonts w:eastAsia="Times New Roman"/>
          <w:sz w:val="20"/>
          <w:szCs w:val="20"/>
        </w:rPr>
        <w:t xml:space="preserve">, споредните даночни давачки и други јавни давачки, кои со закон ѝ се доверени да ги управува, со цел собирање на јавните приходи. Притоа, </w:t>
      </w:r>
      <w:r w:rsidRPr="003F04E5">
        <w:rPr>
          <w:rFonts w:eastAsia="Times New Roman"/>
          <w:sz w:val="20"/>
          <w:szCs w:val="20"/>
          <w:u w:val="single"/>
        </w:rPr>
        <w:t>работите од својата надлежност, УЈП ги врши согласно со Законот за УЈП, Законот за даночна постапка и законите со кои се уредуваат одделни видови на даноци</w:t>
      </w:r>
      <w:r w:rsidRPr="003F04E5">
        <w:rPr>
          <w:rFonts w:eastAsia="Times New Roman"/>
          <w:sz w:val="20"/>
          <w:szCs w:val="20"/>
        </w:rPr>
        <w:t xml:space="preserve"> (член 14 од Законот за УЈП).</w:t>
      </w:r>
    </w:p>
    <w:p w14:paraId="1C6FA554" w14:textId="77777777" w:rsidR="00301F66" w:rsidRPr="003F04E5" w:rsidRDefault="00301F66" w:rsidP="00301F66">
      <w:pPr>
        <w:widowControl w:val="0"/>
        <w:snapToGrid w:val="0"/>
        <w:spacing w:before="120" w:after="120"/>
        <w:rPr>
          <w:sz w:val="20"/>
          <w:szCs w:val="20"/>
        </w:rPr>
      </w:pPr>
      <w:r w:rsidRPr="003F04E5">
        <w:rPr>
          <w:sz w:val="20"/>
          <w:szCs w:val="20"/>
        </w:rPr>
        <w:t xml:space="preserve">Во однос на водењето на сметководството, согласно член 469 од Законот за трговските друштва, објавен во Сл. весник на РС Македонија бр. 28/04 ... 272/24, секој трговец има обврска да води </w:t>
      </w:r>
      <w:r w:rsidRPr="003F04E5">
        <w:rPr>
          <w:sz w:val="20"/>
          <w:szCs w:val="20"/>
        </w:rPr>
        <w:lastRenderedPageBreak/>
        <w:t>сметководство на начинот определен со овој закон и со прописите за сметководство и тоа:</w:t>
      </w:r>
    </w:p>
    <w:p w14:paraId="02265525" w14:textId="77777777" w:rsidR="00301F66" w:rsidRPr="003F04E5" w:rsidRDefault="00301F66" w:rsidP="00301F66">
      <w:pPr>
        <w:autoSpaceDE w:val="0"/>
        <w:autoSpaceDN w:val="0"/>
        <w:adjustRightInd w:val="0"/>
        <w:spacing w:before="120" w:after="120"/>
        <w:rPr>
          <w:rFonts w:cs="StobiSerif Regular"/>
          <w:color w:val="auto"/>
          <w:sz w:val="20"/>
          <w:szCs w:val="20"/>
          <w:lang w:eastAsia="fi-FI"/>
        </w:rPr>
      </w:pPr>
      <w:r w:rsidRPr="003F04E5">
        <w:rPr>
          <w:rFonts w:cs="StobiSerif Regular"/>
          <w:color w:val="auto"/>
          <w:sz w:val="20"/>
          <w:szCs w:val="20"/>
          <w:lang w:eastAsia="fi-FI"/>
        </w:rPr>
        <w:t>1) секој голем и среден трговец, трговците определени со закон, како и трговците кои вршат банкарски дејности, дејности на осигурување, трговците кои котираат на берза, како и трговците чии финансиски извештаи влегуваат во консолидирани финансиски извештаи на претходно наведените трговци имаат обврска да водат сметководство во согласност со усвоените меѓународните стандарди за финансиско известување објавени во “Службен весник на Република Македонија” и</w:t>
      </w:r>
    </w:p>
    <w:p w14:paraId="139D26D0" w14:textId="77777777" w:rsidR="00301F66" w:rsidRPr="003F04E5" w:rsidRDefault="00301F66" w:rsidP="00301F66">
      <w:pPr>
        <w:autoSpaceDE w:val="0"/>
        <w:autoSpaceDN w:val="0"/>
        <w:adjustRightInd w:val="0"/>
        <w:spacing w:before="120" w:after="120"/>
        <w:rPr>
          <w:rFonts w:cs="StobiSerif Regular"/>
          <w:color w:val="auto"/>
          <w:sz w:val="20"/>
          <w:szCs w:val="20"/>
          <w:lang w:eastAsia="fi-FI"/>
        </w:rPr>
      </w:pPr>
      <w:r w:rsidRPr="003F04E5">
        <w:rPr>
          <w:rFonts w:cs="StobiSerif Regular"/>
          <w:color w:val="auto"/>
          <w:sz w:val="20"/>
          <w:szCs w:val="20"/>
          <w:lang w:eastAsia="fi-FI"/>
        </w:rPr>
        <w:t>2) другите трговци имаат обврска да водат сметководство во согласност со меѓународните стандарди за финансиско известување за мали и средни субјекти.</w:t>
      </w:r>
    </w:p>
    <w:p w14:paraId="0EE6C027" w14:textId="77777777" w:rsidR="00301F66" w:rsidRPr="003F04E5" w:rsidRDefault="00301F66" w:rsidP="00301F66">
      <w:pPr>
        <w:spacing w:before="120" w:after="120"/>
        <w:rPr>
          <w:sz w:val="20"/>
          <w:szCs w:val="20"/>
        </w:rPr>
      </w:pPr>
      <w:r w:rsidRPr="003F04E5">
        <w:rPr>
          <w:sz w:val="20"/>
          <w:szCs w:val="20"/>
        </w:rPr>
        <w:t>Во Сл. весник на РСМ бр. 75/2024 и 274/24, објавен е новиот Правилник за начинот на водење сметководство (во натамошниот текст: Правилникот), во кој се објавени Меѓународните стандарди за финансиско известување. Меѓународните стандарди за финансиско известување ги содржат Меѓународните сметководствени стандарди (МСС), Меѓународните стандарди за финансиско известување (МСФИ), Толкувањата на Постојниот комитет за толкување (ПКТ) и Толкувањата на Комитетот за толкување на меѓународното финансиско известување (КТМФИ), утврдени од Одборот за меѓународни сметководствени стандарди (ОМСС). Правилникот започна да се применува од 01.01.2025 година, со исклучок на МСФИ 9 – Финансиски инструменти и МСФИ 17 – Договори за осигурување, чија примена е одложена до 01.01.2028 година.  Согласно член 4 од Правилникот, со денот на отпочнувањето на неговата примена, престанува да важи Правилникот за водење сметководство (Сл. весник на РМ, бр. 159/09, 164/10 и 107/11). Согласно член 2 од Правилникот, сметководството се води во согласност со Меѓународните стандарди за финансиско известување и Меѓународните стандарди за финансиско известување за мали и средни субјекти, кои се составен дел на Правилникот.</w:t>
      </w:r>
    </w:p>
    <w:p w14:paraId="45664054" w14:textId="77777777" w:rsidR="00301F66" w:rsidRPr="003F04E5" w:rsidRDefault="00301F66" w:rsidP="00301F66">
      <w:pPr>
        <w:keepNext/>
        <w:keepLines/>
        <w:spacing w:before="120" w:after="120"/>
        <w:rPr>
          <w:sz w:val="20"/>
          <w:szCs w:val="20"/>
        </w:rPr>
      </w:pPr>
    </w:p>
    <w:p w14:paraId="7EBEBE23" w14:textId="77777777" w:rsidR="00301F66" w:rsidRPr="003F04E5" w:rsidRDefault="00301F66" w:rsidP="00301F66">
      <w:pPr>
        <w:keepNext/>
        <w:keepLines/>
        <w:spacing w:before="120" w:after="120"/>
        <w:rPr>
          <w:sz w:val="20"/>
          <w:szCs w:val="20"/>
        </w:rPr>
      </w:pPr>
      <w:r w:rsidRPr="003F04E5">
        <w:rPr>
          <w:sz w:val="20"/>
          <w:szCs w:val="20"/>
        </w:rPr>
        <w:t xml:space="preserve"> Сметководствениот третман на залихите е дефиниран во МСС 2 -Залихи,  како и во и Оддел 13 – Залихи од МСФИ за мали и средни ентитети од Правилникот. Овие стандарди даваат насоки за определување на набавната вредност на залихите и нејзиното последователно признавање како расход, вклучувајќи ги сите намалувања на вредноста до нето- реализациона вредност. Исто така, овие стандарди даваат упатства во однос на трошочните формули што се користат за вреднување на залихите.</w:t>
      </w:r>
    </w:p>
    <w:p w14:paraId="76914CEE" w14:textId="77777777" w:rsidR="00301F66" w:rsidRPr="003F04E5" w:rsidRDefault="00301F66" w:rsidP="00301F66">
      <w:pPr>
        <w:spacing w:before="120" w:after="120"/>
        <w:rPr>
          <w:color w:val="auto"/>
          <w:sz w:val="20"/>
          <w:szCs w:val="20"/>
        </w:rPr>
      </w:pPr>
      <w:r w:rsidRPr="003F04E5">
        <w:rPr>
          <w:color w:val="auto"/>
          <w:sz w:val="20"/>
          <w:szCs w:val="20"/>
        </w:rPr>
        <w:t xml:space="preserve">Врз основа на одредбите цитирани погоре, </w:t>
      </w:r>
      <w:r w:rsidRPr="003F04E5">
        <w:rPr>
          <w:rFonts w:eastAsia="MS Mincho"/>
          <w:sz w:val="20"/>
          <w:szCs w:val="20"/>
          <w:lang w:eastAsia="mk-MK"/>
        </w:rPr>
        <w:t>како и информациите изнесени во Вашето прашање</w:t>
      </w:r>
      <w:r w:rsidRPr="003F04E5">
        <w:rPr>
          <w:color w:val="auto"/>
          <w:sz w:val="20"/>
          <w:szCs w:val="20"/>
        </w:rPr>
        <w:t xml:space="preserve"> упатуваме дека од причина што не станува збор за даночно прашање, даночниот обврзник треба да води сметководството </w:t>
      </w:r>
      <w:r w:rsidRPr="003F04E5">
        <w:rPr>
          <w:sz w:val="20"/>
          <w:szCs w:val="20"/>
        </w:rPr>
        <w:t>на начинот определен со закон и со прописите за сметководство</w:t>
      </w:r>
      <w:r w:rsidRPr="003F04E5">
        <w:rPr>
          <w:color w:val="auto"/>
          <w:sz w:val="20"/>
          <w:szCs w:val="20"/>
        </w:rPr>
        <w:t xml:space="preserve"> објавени во Правилник за начинот на водење на сметководство. </w:t>
      </w:r>
    </w:p>
    <w:sectPr w:rsidR="00301F66" w:rsidRPr="003F04E5"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E5CD7B" w14:textId="77777777" w:rsidR="00E6698C" w:rsidRPr="00C567EE" w:rsidRDefault="00E6698C" w:rsidP="00805345">
      <w:r w:rsidRPr="00C567EE">
        <w:separator/>
      </w:r>
    </w:p>
  </w:endnote>
  <w:endnote w:type="continuationSeparator" w:id="0">
    <w:p w14:paraId="62437968" w14:textId="77777777" w:rsidR="00E6698C" w:rsidRPr="00C567EE" w:rsidRDefault="00E6698C"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4FC5E" w14:textId="77777777" w:rsidR="00E6698C" w:rsidRPr="00C567EE" w:rsidRDefault="00E6698C" w:rsidP="00805345">
      <w:r w:rsidRPr="00C567EE">
        <w:separator/>
      </w:r>
    </w:p>
  </w:footnote>
  <w:footnote w:type="continuationSeparator" w:id="0">
    <w:p w14:paraId="2E2E18CB" w14:textId="77777777" w:rsidR="00E6698C" w:rsidRPr="00C567EE" w:rsidRDefault="00E6698C"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6"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0"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9"/>
  </w:num>
  <w:num w:numId="2" w16cid:durableId="1900096440">
    <w:abstractNumId w:val="25"/>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1"/>
  </w:num>
  <w:num w:numId="8" w16cid:durableId="621112521">
    <w:abstractNumId w:val="5"/>
  </w:num>
  <w:num w:numId="9" w16cid:durableId="1622804002">
    <w:abstractNumId w:val="31"/>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7"/>
  </w:num>
  <w:num w:numId="13" w16cid:durableId="714353434">
    <w:abstractNumId w:val="14"/>
  </w:num>
  <w:num w:numId="14" w16cid:durableId="1341006038">
    <w:abstractNumId w:val="11"/>
  </w:num>
  <w:num w:numId="15" w16cid:durableId="788474779">
    <w:abstractNumId w:val="1"/>
  </w:num>
  <w:num w:numId="16" w16cid:durableId="639068706">
    <w:abstractNumId w:val="24"/>
  </w:num>
  <w:num w:numId="17" w16cid:durableId="479928752">
    <w:abstractNumId w:val="0"/>
  </w:num>
  <w:num w:numId="18" w16cid:durableId="2018384905">
    <w:abstractNumId w:val="22"/>
  </w:num>
  <w:num w:numId="19" w16cid:durableId="2136213879">
    <w:abstractNumId w:val="2"/>
  </w:num>
  <w:num w:numId="20" w16cid:durableId="694765918">
    <w:abstractNumId w:val="26"/>
  </w:num>
  <w:num w:numId="21" w16cid:durableId="6989419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9"/>
  </w:num>
  <w:num w:numId="24" w16cid:durableId="1315838814">
    <w:abstractNumId w:val="6"/>
  </w:num>
  <w:num w:numId="25" w16cid:durableId="818617000">
    <w:abstractNumId w:val="28"/>
  </w:num>
  <w:num w:numId="26" w16cid:durableId="1199777193">
    <w:abstractNumId w:val="34"/>
  </w:num>
  <w:num w:numId="27" w16cid:durableId="444814318">
    <w:abstractNumId w:val="9"/>
  </w:num>
  <w:num w:numId="28" w16cid:durableId="198933697">
    <w:abstractNumId w:val="23"/>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0"/>
  </w:num>
  <w:num w:numId="34" w16cid:durableId="382213961">
    <w:abstractNumId w:val="33"/>
  </w:num>
  <w:num w:numId="35" w16cid:durableId="29001757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6698C"/>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861</Words>
  <Characters>4909</Characters>
  <Application>Microsoft Office Word</Application>
  <DocSecurity>0</DocSecurity>
  <Lines>40</Lines>
  <Paragraphs>11</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5759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2025-10-22T10:50:00Z</dcterms:created>
  <dcterms:modified xsi:type="dcterms:W3CDTF">2025-10-22T10:50:00Z</dcterms:modified>
</cp:coreProperties>
</file>