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51B02" w14:textId="77777777" w:rsidR="004E32AA" w:rsidRPr="003F04E5" w:rsidRDefault="004E32AA" w:rsidP="004E32AA">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29.05.2025</w:t>
      </w:r>
    </w:p>
    <w:p w14:paraId="6C79E71A" w14:textId="77777777" w:rsidR="004E32AA" w:rsidRPr="003F04E5" w:rsidRDefault="004E32AA" w:rsidP="004E32AA">
      <w:pPr>
        <w:jc w:val="both"/>
        <w:rPr>
          <w:sz w:val="20"/>
          <w:szCs w:val="20"/>
          <w:lang w:val="ru-RU"/>
        </w:rPr>
      </w:pPr>
      <w:r w:rsidRPr="003F04E5">
        <w:rPr>
          <w:sz w:val="20"/>
          <w:szCs w:val="20"/>
          <w:lang w:val="ru-RU"/>
        </w:rPr>
        <w:t>Почитувани,</w:t>
      </w:r>
    </w:p>
    <w:p w14:paraId="1BA3C64F" w14:textId="77777777" w:rsidR="004E32AA" w:rsidRPr="003F04E5" w:rsidRDefault="004E32AA" w:rsidP="004E32AA">
      <w:pPr>
        <w:ind w:firstLine="720"/>
        <w:jc w:val="both"/>
        <w:rPr>
          <w:sz w:val="20"/>
          <w:szCs w:val="20"/>
          <w:lang w:val="ru-RU"/>
        </w:rPr>
      </w:pPr>
    </w:p>
    <w:p w14:paraId="74FB93E5" w14:textId="77777777" w:rsidR="004E32AA" w:rsidRPr="003F04E5" w:rsidRDefault="004E32AA" w:rsidP="004E32AA">
      <w:pPr>
        <w:shd w:val="clear" w:color="auto" w:fill="FFFFFF"/>
        <w:jc w:val="both"/>
        <w:rPr>
          <w:rFonts w:cs="StobiSerifRegular"/>
          <w:b/>
          <w:color w:val="auto"/>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7265B82B"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3572CC0"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p w14:paraId="025CA795"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3795ACD6"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04145FF2"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 xml:space="preserve">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w:t>
      </w:r>
      <w:r w:rsidRPr="003F04E5">
        <w:rPr>
          <w:rFonts w:cs="Times New Roman"/>
          <w:sz w:val="20"/>
          <w:szCs w:val="20"/>
          <w:lang w:eastAsia="x-none"/>
        </w:rPr>
        <w:t>кој се применуваше заклучно со 31.12.2024 година</w:t>
      </w:r>
      <w:r w:rsidRPr="003F04E5">
        <w:rPr>
          <w:rFonts w:cs="StobiSerif Regular"/>
          <w:bCs/>
          <w:sz w:val="20"/>
          <w:szCs w:val="20"/>
          <w:lang w:eastAsia="x-none"/>
        </w:rPr>
        <w:t>.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1CB174FF"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 xml:space="preserve">Со МСС 40 - </w:t>
      </w:r>
      <w:r w:rsidRPr="003F04E5">
        <w:rPr>
          <w:rFonts w:cs="StobiSerif Regular"/>
          <w:bCs/>
          <w:i/>
          <w:iCs/>
          <w:sz w:val="20"/>
          <w:szCs w:val="20"/>
          <w:lang w:eastAsia="x-none"/>
        </w:rPr>
        <w:t>Инвестициска недвижност</w:t>
      </w:r>
      <w:r w:rsidRPr="003F04E5">
        <w:rPr>
          <w:rFonts w:cs="StobiSerif Regular"/>
          <w:bCs/>
          <w:sz w:val="20"/>
          <w:szCs w:val="20"/>
          <w:lang w:eastAsia="x-none"/>
        </w:rPr>
        <w:t xml:space="preserve">, се пропишува сметководствениот третман за инвестициска недвижност. Сметководствениот третман на наемите е дефиниран во МСФИ 16 - </w:t>
      </w:r>
      <w:r w:rsidRPr="003F04E5">
        <w:rPr>
          <w:rFonts w:cs="StobiSerif Regular"/>
          <w:bCs/>
          <w:i/>
          <w:iCs/>
          <w:sz w:val="20"/>
          <w:szCs w:val="20"/>
          <w:lang w:eastAsia="x-none"/>
        </w:rPr>
        <w:t>Лизинг</w:t>
      </w:r>
      <w:r w:rsidRPr="003F04E5">
        <w:rPr>
          <w:rFonts w:cs="StobiSerif Regular"/>
          <w:bCs/>
          <w:sz w:val="20"/>
          <w:szCs w:val="20"/>
          <w:lang w:eastAsia="x-none"/>
        </w:rPr>
        <w:t>.</w:t>
      </w:r>
    </w:p>
    <w:p w14:paraId="5EE2294F"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Во однос на признавање на трошоците за амортизација со одредбата на член 9-а став 2 од ЗДД, е предвидено дека трошоците за амортизација на материјалните средства се признаваат како расход во даночниот биланс до износот пресметан на набавната вредност на средствата со примена на амортизационите стапки утврдени со Номенклатурата на средствата за амортизација.</w:t>
      </w:r>
    </w:p>
    <w:p w14:paraId="2557B143"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 xml:space="preserve">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w:t>
      </w:r>
      <w:r w:rsidRPr="003F04E5">
        <w:rPr>
          <w:rFonts w:cs="StobiSerif Regular"/>
          <w:bCs/>
          <w:sz w:val="20"/>
          <w:szCs w:val="20"/>
          <w:lang w:eastAsia="x-none"/>
        </w:rPr>
        <w:lastRenderedPageBreak/>
        <w:t>средства подетално се уредени со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 Македонија бр. 277/2019, (во натамошниот текст: Уредбата).</w:t>
      </w:r>
    </w:p>
    <w:p w14:paraId="303830F5"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Под материјални средства, согласно член 2 од Уредбата, се сметаат предметите чиј поединечен трошок на набавка е поголем од 500 евра во денарска противвредност и корисниот век на употреба е подолг од една година, вклучително и градежните објекти со кои располага даночниот обврзник и кои служат за вршење на неговата дејност.</w:t>
      </w:r>
    </w:p>
    <w:p w14:paraId="76BAE3C5"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Членот 4 од Уредбата пропишува дека амортизацијата односно отписот на вредноста на средствата се врши со праволиниска метода со примена на годишните амортизациони стапки утврдени со оваа Уредба, кои за цели на оданочувањето може да се зголемат најмногу до 50%. Така пресметаната амортизација на средствата се признава како расход за даночни цели во даночниот биланс согласно со член 9-a став 2 од ЗДД.</w:t>
      </w:r>
    </w:p>
    <w:p w14:paraId="7AC0E251" w14:textId="77777777" w:rsidR="004E32AA" w:rsidRPr="003F04E5" w:rsidRDefault="004E32AA" w:rsidP="004E32AA">
      <w:pPr>
        <w:spacing w:before="120" w:after="120"/>
        <w:rPr>
          <w:rFonts w:cs="StobiSerif Regular"/>
          <w:bCs/>
          <w:sz w:val="20"/>
          <w:szCs w:val="20"/>
          <w:lang w:eastAsia="x-none"/>
        </w:rPr>
      </w:pPr>
    </w:p>
    <w:p w14:paraId="54B7310A"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Основица за пресметување на амортизацијата претставува набавната, односно ревалоризационата вредност на средството. Набавната вредност на средството се утврдува во согласност со прифатените меѓународни стандарди за финансиско известување и прифатените меѓународни стандарди за финансиско известување за мали и средни субјекти, и истата ја сочинува куповната цена (фактурната вредност) зголемена за увозните давачки и даноците кои не се рефундираат при купувањето и сите други издатоци кои директно се припишуваат на подготвување на средството за неговата наменета употреба. Сите трговски попусти и рабати искажани во фактурната вредност се одбиваат при утврдување на набавната вредност на средството. Основицата за пресметување на амортизација се корегира за последователните издатоци во согласност со сметководствените стандарди со кои се зголемува очекуваната корист на средството за даночниот обврзник, односно за вложувањата поради реконструкција, адаптација или други вложувања со кои се зголемува корисниот век на употреба, капацитетот, функционалната поврзаност и слично. Променетата вредноста на средството по основ на последователните издатоци претставува основица за натамошно пресметување на амортизацијата, од денот кога издатоците настанале, односно кога се утврдени  (член 5 ставови 1, 3, 4 и 5 од Уредбата).</w:t>
      </w:r>
    </w:p>
    <w:p w14:paraId="12E130F7"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Трошокот по основ на амортизација на средствата се признава како расход во даночниот биланс од денот кога средството станало расположливо за употреба (член 7 од Уредбата). Трошокот по основа на амортизација на подарените средства се признава како расход во даночниот биланс до крајот на месецот во кој основните средства биле во употреба (член 8 став 1 од Уредбата).</w:t>
      </w:r>
    </w:p>
    <w:p w14:paraId="64202F85" w14:textId="77777777" w:rsidR="004E32AA" w:rsidRPr="003F04E5" w:rsidRDefault="004E32AA" w:rsidP="004E32AA">
      <w:pPr>
        <w:spacing w:before="120" w:after="120"/>
        <w:rPr>
          <w:rFonts w:cs="StobiSerif Regular"/>
          <w:color w:val="auto"/>
          <w:sz w:val="20"/>
          <w:szCs w:val="20"/>
          <w:lang w:val="ru-RU" w:eastAsia="fi-FI"/>
        </w:rPr>
      </w:pPr>
      <w:r w:rsidRPr="003F04E5">
        <w:rPr>
          <w:rFonts w:cs="StobiSerif Regular"/>
          <w:color w:val="auto"/>
          <w:sz w:val="20"/>
          <w:szCs w:val="20"/>
          <w:lang w:eastAsia="fi-FI"/>
        </w:rPr>
        <w:t>Според точка 1.1. од Номенклатурата на средствата за амортизација и годишните амортизациони стапки, која е составен дел од Уредбата, годишна стапка на амортизација пропишана за градежни објекти на високоградба и нискоградба од армирано бетонска и метална конструкција (згради, мостови, тунели, надвозници, нафтоводи, гасоводи, водоводи и далеководи), како и градежни објекти кои се сметаат за самостојни градежни објекти изнесува 2,5%. За даночни цели, согласно член 4 став 2 од Уредбата, највисоко дозволена годишна стапка на амортизација за градежните објекти од точка 1.1. изнесува 3,75%.</w:t>
      </w:r>
    </w:p>
    <w:p w14:paraId="41CBFF92" w14:textId="77777777" w:rsidR="004E32AA" w:rsidRPr="003F04E5" w:rsidRDefault="004E32AA" w:rsidP="004E32AA">
      <w:pPr>
        <w:spacing w:before="120" w:after="120"/>
        <w:rPr>
          <w:rFonts w:cs="StobiSerif Regular"/>
          <w:bCs/>
          <w:sz w:val="20"/>
          <w:szCs w:val="20"/>
          <w:lang w:eastAsia="x-none"/>
        </w:rPr>
      </w:pPr>
      <w:r w:rsidRPr="003F04E5">
        <w:rPr>
          <w:rFonts w:cs="StobiSerif Regular"/>
          <w:bCs/>
          <w:sz w:val="20"/>
          <w:szCs w:val="20"/>
          <w:lang w:eastAsia="x-none"/>
        </w:rPr>
        <w:t xml:space="preserve">Средствата со кои располага даночниот обврзник, а кои по називот или поблискиот опис на називот на средствата по амортизациони групи, не се наведени во Номенклатурата од Уредбата, се распоредуваат во групата: „Останати неспомнати долгорочни средства“ (член 10 од Уредбата). За останати неспомнати </w:t>
      </w:r>
      <w:r w:rsidRPr="003F04E5">
        <w:rPr>
          <w:rFonts w:cs="StobiSerif Regular"/>
          <w:bCs/>
          <w:sz w:val="20"/>
          <w:szCs w:val="20"/>
          <w:lang w:eastAsia="x-none"/>
        </w:rPr>
        <w:lastRenderedPageBreak/>
        <w:t>градежни објекти во точката 1.4. од Уредбата</w:t>
      </w:r>
      <w:r w:rsidRPr="003F04E5">
        <w:rPr>
          <w:sz w:val="20"/>
          <w:szCs w:val="20"/>
        </w:rPr>
        <w:t xml:space="preserve"> </w:t>
      </w:r>
      <w:r w:rsidRPr="003F04E5">
        <w:rPr>
          <w:rFonts w:cs="StobiSerif Regular"/>
          <w:bCs/>
          <w:sz w:val="20"/>
          <w:szCs w:val="20"/>
          <w:lang w:eastAsia="x-none"/>
        </w:rPr>
        <w:t>пропишана е годишна амортизациона стапка од 10%, која за даночни цели изнесува најмногу до 15%.</w:t>
      </w:r>
    </w:p>
    <w:p w14:paraId="4A18605A" w14:textId="77777777" w:rsidR="004E32AA" w:rsidRPr="003F04E5" w:rsidRDefault="004E32AA" w:rsidP="004E32AA">
      <w:pPr>
        <w:spacing w:before="120" w:after="120"/>
        <w:rPr>
          <w:sz w:val="20"/>
          <w:szCs w:val="20"/>
          <w:lang w:val="ru-RU"/>
        </w:rPr>
      </w:pPr>
      <w:r w:rsidRPr="003F04E5">
        <w:rPr>
          <w:rFonts w:cs="StobiSerif Regular"/>
          <w:bCs/>
          <w:sz w:val="20"/>
          <w:szCs w:val="20"/>
        </w:rPr>
        <w:t>Врз основа на одредбите цитирани погоре, како и информациите изнесени во Вашето прашање на мислење сме дека</w:t>
      </w:r>
      <w:r w:rsidRPr="003F04E5">
        <w:rPr>
          <w:sz w:val="20"/>
          <w:szCs w:val="20"/>
        </w:rPr>
        <w:t xml:space="preserve"> з</w:t>
      </w:r>
      <w:r w:rsidRPr="003F04E5">
        <w:rPr>
          <w:sz w:val="20"/>
          <w:szCs w:val="20"/>
          <w:lang w:val="ru-RU"/>
        </w:rPr>
        <w:t>а долгорочното инвестиционо вложување (внатрешно реновирање и поголеми модификации на постојниот простор: адаптација и преуредување на просторот, ѕидови од гипс картон, воведување на централно греење и климатизација, настрешница од метална конструкција) извршено во деловен простор земен под закуп, на даночниот обврзник му се признаваат трошоците за амортизација согласно членот 9-а став 2 од ЗДД и одредбите од Уредбата цитирани погоре, по стапка пропишана за останати неспомнати градежни објекти, која за даночни цели изнесува најмногу до 15% годишно.</w:t>
      </w:r>
    </w:p>
    <w:p w14:paraId="193B1196" w14:textId="53521920" w:rsidR="009157F7" w:rsidRPr="004E32AA" w:rsidRDefault="009157F7" w:rsidP="004E32AA">
      <w:pPr>
        <w:rPr>
          <w:lang w:val="ru-RU"/>
        </w:rPr>
      </w:pPr>
    </w:p>
    <w:sectPr w:rsidR="009157F7" w:rsidRPr="004E32A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B1117" w14:textId="77777777" w:rsidR="003D34E6" w:rsidRPr="00C567EE" w:rsidRDefault="003D34E6" w:rsidP="00805345">
      <w:r w:rsidRPr="00C567EE">
        <w:separator/>
      </w:r>
    </w:p>
  </w:endnote>
  <w:endnote w:type="continuationSeparator" w:id="0">
    <w:p w14:paraId="3E5BE888" w14:textId="77777777" w:rsidR="003D34E6" w:rsidRPr="00C567EE" w:rsidRDefault="003D34E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A408E" w14:textId="77777777" w:rsidR="003D34E6" w:rsidRPr="00C567EE" w:rsidRDefault="003D34E6" w:rsidP="00805345">
      <w:r w:rsidRPr="00C567EE">
        <w:separator/>
      </w:r>
    </w:p>
  </w:footnote>
  <w:footnote w:type="continuationSeparator" w:id="0">
    <w:p w14:paraId="44BBC7A6" w14:textId="77777777" w:rsidR="003D34E6" w:rsidRPr="00C567EE" w:rsidRDefault="003D34E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3"/>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 w:numId="34" w16cid:durableId="382213961">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4E6"/>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1199</Words>
  <Characters>6835</Characters>
  <Application>Microsoft Office Word</Application>
  <DocSecurity>0</DocSecurity>
  <Lines>56</Lines>
  <Paragraphs>16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8018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2025-10-22T10:49:00Z</dcterms:created>
  <dcterms:modified xsi:type="dcterms:W3CDTF">2025-10-22T10:49:00Z</dcterms:modified>
</cp:coreProperties>
</file>