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B2B728" w14:textId="77777777" w:rsidR="00CE66F1" w:rsidRPr="003F04E5" w:rsidRDefault="00CE66F1" w:rsidP="00CE66F1">
      <w:pPr>
        <w:spacing w:before="120" w:after="120"/>
        <w:rPr>
          <w:b/>
          <w:bCs/>
          <w:sz w:val="20"/>
          <w:szCs w:val="20"/>
          <w:lang w:val="ru-RU"/>
        </w:rPr>
      </w:pPr>
      <w:r w:rsidRPr="003F04E5">
        <w:rPr>
          <w:b/>
          <w:bCs/>
          <w:sz w:val="20"/>
          <w:szCs w:val="20"/>
        </w:rPr>
        <w:t xml:space="preserve">МИСЛЕЊЕ од </w:t>
      </w:r>
      <w:r w:rsidRPr="003F04E5">
        <w:rPr>
          <w:b/>
          <w:bCs/>
          <w:sz w:val="20"/>
          <w:szCs w:val="20"/>
          <w:lang w:val="ru-RU"/>
        </w:rPr>
        <w:t>28.04.2025:</w:t>
      </w:r>
    </w:p>
    <w:p w14:paraId="1C291FE6" w14:textId="77777777" w:rsidR="00CE66F1" w:rsidRPr="003F04E5" w:rsidRDefault="00CE66F1" w:rsidP="00CE66F1">
      <w:pPr>
        <w:spacing w:before="120" w:after="120"/>
        <w:rPr>
          <w:sz w:val="20"/>
          <w:szCs w:val="20"/>
          <w:lang w:val="ru-RU"/>
        </w:rPr>
      </w:pPr>
    </w:p>
    <w:p w14:paraId="70B96E07" w14:textId="77777777" w:rsidR="00CE66F1" w:rsidRPr="003F04E5" w:rsidRDefault="00CE66F1" w:rsidP="00CE66F1">
      <w:pPr>
        <w:jc w:val="both"/>
        <w:rPr>
          <w:sz w:val="20"/>
          <w:szCs w:val="20"/>
          <w:lang w:val="ru-RU"/>
        </w:rPr>
      </w:pPr>
      <w:r w:rsidRPr="003F04E5">
        <w:rPr>
          <w:sz w:val="20"/>
          <w:szCs w:val="20"/>
          <w:lang w:val="ru-RU"/>
        </w:rPr>
        <w:t>Почитувани,</w:t>
      </w:r>
    </w:p>
    <w:p w14:paraId="14BEFA95" w14:textId="77777777" w:rsidR="00CE66F1" w:rsidRPr="003F04E5" w:rsidRDefault="00CE66F1" w:rsidP="00CE66F1">
      <w:pPr>
        <w:ind w:firstLine="720"/>
        <w:jc w:val="both"/>
        <w:rPr>
          <w:sz w:val="20"/>
          <w:szCs w:val="20"/>
          <w:lang w:val="ru-RU"/>
        </w:rPr>
      </w:pPr>
    </w:p>
    <w:p w14:paraId="7D9FD94D" w14:textId="77777777" w:rsidR="00CE66F1" w:rsidRPr="003F04E5" w:rsidRDefault="00CE66F1" w:rsidP="00CE66F1">
      <w:pPr>
        <w:shd w:val="clear" w:color="auto" w:fill="FFFFFF"/>
        <w:jc w:val="both"/>
        <w:rPr>
          <w:sz w:val="20"/>
          <w:szCs w:val="20"/>
          <w:lang w:val="ru-RU"/>
        </w:rPr>
      </w:pPr>
      <w:r w:rsidRPr="003F04E5">
        <w:rPr>
          <w:sz w:val="20"/>
          <w:szCs w:val="20"/>
          <w:lang w:val="ru-RU"/>
        </w:rPr>
        <w:t>Во врска со Вашето барање на мислење, Управата за јавни приходи  Ве известува:</w:t>
      </w:r>
    </w:p>
    <w:p w14:paraId="7860617F" w14:textId="77777777" w:rsidR="00CE66F1" w:rsidRPr="003F04E5" w:rsidRDefault="00CE66F1" w:rsidP="00CE66F1">
      <w:pPr>
        <w:shd w:val="clear" w:color="auto" w:fill="FFFFFF"/>
        <w:jc w:val="both"/>
        <w:rPr>
          <w:rFonts w:cs="StobiSerifRegular"/>
          <w:b/>
          <w:color w:val="auto"/>
          <w:sz w:val="20"/>
          <w:szCs w:val="20"/>
          <w:lang w:val="ru-RU"/>
        </w:rPr>
      </w:pPr>
    </w:p>
    <w:p w14:paraId="24892F2A" w14:textId="77777777" w:rsidR="00CE66F1" w:rsidRPr="003F04E5" w:rsidRDefault="00CE66F1" w:rsidP="00CE66F1">
      <w:pPr>
        <w:spacing w:before="120" w:after="120"/>
        <w:rPr>
          <w:sz w:val="20"/>
          <w:szCs w:val="20"/>
        </w:rPr>
      </w:pPr>
      <w:r w:rsidRPr="003F04E5">
        <w:rPr>
          <w:sz w:val="20"/>
          <w:szCs w:val="20"/>
        </w:rPr>
        <w:t>Според член 7 од Законот за данок на добивка, објавен во Сл. весник на РСМ, бр.112/2014 … 199/2023, (во натамошниот текст: ЗДД), основа за пресметување на данокот од добивка е добивката која се утврдува во даночниот биланс, како разлика меѓу вкупните приходи и вкупните расходи на даночниот обврзник во износи утврдени согласно со прописите за сметководството и сметководствените стандарди кои се применуваат во РС Македонија. Притоа, основата за пресметување на данокот на добивка</w:t>
      </w:r>
      <w:r w:rsidRPr="003F04E5" w:rsidDel="00497FF5">
        <w:rPr>
          <w:sz w:val="20"/>
          <w:szCs w:val="20"/>
        </w:rPr>
        <w:t xml:space="preserve"> </w:t>
      </w:r>
      <w:r w:rsidRPr="003F04E5">
        <w:rPr>
          <w:sz w:val="20"/>
          <w:szCs w:val="20"/>
        </w:rPr>
        <w:t>се зголемува за непризнаените расходи и помалку искажаните приходи за даночни цели (член 8 од ЗДД).</w:t>
      </w:r>
    </w:p>
    <w:p w14:paraId="3DE312A2" w14:textId="77777777" w:rsidR="00CE66F1" w:rsidRPr="003F04E5" w:rsidRDefault="00CE66F1" w:rsidP="00CE66F1">
      <w:pPr>
        <w:widowControl w:val="0"/>
        <w:snapToGrid w:val="0"/>
        <w:spacing w:before="120" w:after="120"/>
        <w:rPr>
          <w:sz w:val="20"/>
          <w:szCs w:val="20"/>
          <w:lang w:val="ru-RU"/>
        </w:rPr>
      </w:pPr>
      <w:r w:rsidRPr="003F04E5">
        <w:rPr>
          <w:sz w:val="20"/>
          <w:szCs w:val="20"/>
        </w:rPr>
        <w:t>Во однос на водењето на сметководството, согласно член 469 став 1 од Законот за трговските друштва, објавен во Сл. весник на РС Македонија бр. 28/04 ... 272/24, секој трговец има обврска да води сметководство на начинот определен со овој закон и со прописите за сметководство, и тоа:</w:t>
      </w:r>
    </w:p>
    <w:p w14:paraId="4B4EA96B" w14:textId="77777777" w:rsidR="00CE66F1" w:rsidRPr="003F04E5" w:rsidRDefault="00CE66F1" w:rsidP="00CE66F1">
      <w:pPr>
        <w:autoSpaceDE w:val="0"/>
        <w:autoSpaceDN w:val="0"/>
        <w:adjustRightInd w:val="0"/>
        <w:spacing w:before="120" w:after="120"/>
        <w:rPr>
          <w:sz w:val="20"/>
          <w:szCs w:val="20"/>
        </w:rPr>
      </w:pPr>
      <w:r w:rsidRPr="003F04E5">
        <w:rPr>
          <w:sz w:val="20"/>
          <w:szCs w:val="20"/>
        </w:rPr>
        <w:t>1) секој голем и среден трговец, трговците определени со закон, како и трговците кои вршат банкарски дејности, дејности на осигурување, трговците кои котираат на берза, како и трговците чии финансиски извештаи влегуваат во консолидирани финансиски извештаи на претходно наведените трговци имаат обврска да водат сметководство во согласност со усвоените меѓународните стандарди за финансиско известување објавени во “Службен весник на РепубликаМакедонија” и</w:t>
      </w:r>
    </w:p>
    <w:p w14:paraId="23C63C2C" w14:textId="77777777" w:rsidR="00CE66F1" w:rsidRPr="003F04E5" w:rsidRDefault="00CE66F1" w:rsidP="00CE66F1">
      <w:pPr>
        <w:autoSpaceDE w:val="0"/>
        <w:autoSpaceDN w:val="0"/>
        <w:adjustRightInd w:val="0"/>
        <w:spacing w:before="120" w:after="120"/>
        <w:rPr>
          <w:sz w:val="20"/>
          <w:szCs w:val="20"/>
        </w:rPr>
      </w:pPr>
      <w:r w:rsidRPr="003F04E5">
        <w:rPr>
          <w:sz w:val="20"/>
          <w:szCs w:val="20"/>
        </w:rPr>
        <w:t>2) другите трговци имаат обврска да водат сметководство во согласност со меѓународните стандарди за финансиско известување за мали и средни субјекти.</w:t>
      </w:r>
    </w:p>
    <w:p w14:paraId="06FF36B6" w14:textId="77777777" w:rsidR="00CE66F1" w:rsidRPr="003F04E5" w:rsidRDefault="00CE66F1" w:rsidP="00CE66F1">
      <w:pPr>
        <w:spacing w:before="120" w:after="120"/>
        <w:rPr>
          <w:sz w:val="20"/>
          <w:szCs w:val="20"/>
        </w:rPr>
      </w:pPr>
      <w:r w:rsidRPr="003F04E5">
        <w:rPr>
          <w:sz w:val="20"/>
          <w:szCs w:val="20"/>
        </w:rPr>
        <w:t>Во Сл. весник на РСМ бр. 75/2024 и 274/24, објавен е новиот Правилник за начинот на водење сметководство (во натамошниот текст: Правилникот),  во кој се објавени Меѓународните стандарди за финансиско известување. Меѓународните стандарди за финансиско известување ги содржат Меѓународните сметководствени стандарди (МСС), Меѓународните стандарди за финансиско известување (МСФИ), Толкувањата на Постојниот комитет за толкување (ПКТ) и Толкувањата на Комитетот за толкување на меѓународното финансиско известување (КТМФИ), утврдени од Одборот за меѓународни сметководствени стандарди (ОМСС). Правилникот започна да се применува од 01.01.2025 година, со исклучок на МСФИ 9 – Финансиски инструменти и МСФИ 17 – Договори за осигурување, чија примена е одложена до 01.01.2028 година. Согласно член 4 од Правилникот, со денот на отпочнувањето на неговата примена, престанува да важи Правилникот за водење сметководство (Сл. весник на РМ, бр. 159/09, 164/10 и 107/11). Согласно член 2 од Правилникот, сметководството се води во согласност со Меѓународните стандарди за финансиско известување и Меѓународните стандарди за финансиско известување за мали и средни субјекти, кои се составен дел на Правилникот.</w:t>
      </w:r>
    </w:p>
    <w:p w14:paraId="07E2859D" w14:textId="77777777" w:rsidR="00CE66F1" w:rsidRPr="003F04E5" w:rsidRDefault="00CE66F1" w:rsidP="00CE66F1">
      <w:pPr>
        <w:spacing w:before="120" w:after="120"/>
        <w:rPr>
          <w:bCs/>
          <w:sz w:val="20"/>
          <w:szCs w:val="20"/>
          <w:lang w:val="ru-RU"/>
        </w:rPr>
      </w:pPr>
      <w:r w:rsidRPr="003F04E5">
        <w:rPr>
          <w:bCs/>
          <w:sz w:val="20"/>
          <w:szCs w:val="20"/>
        </w:rPr>
        <w:t xml:space="preserve">Сметководствениот третман на залихите е  дефиниран во МСС  2 -Залихи,  како и Оддел 13 – Залихи. </w:t>
      </w:r>
    </w:p>
    <w:p w14:paraId="182C92EE" w14:textId="77777777" w:rsidR="00CE66F1" w:rsidRPr="003F04E5" w:rsidRDefault="00CE66F1" w:rsidP="00CE66F1">
      <w:pPr>
        <w:spacing w:before="120" w:after="120"/>
        <w:rPr>
          <w:rFonts w:cs="StobiSerif Regular"/>
          <w:color w:val="auto"/>
          <w:sz w:val="20"/>
          <w:szCs w:val="20"/>
          <w:lang w:val="ru-RU" w:eastAsia="fi-FI"/>
        </w:rPr>
      </w:pPr>
      <w:r w:rsidRPr="003F04E5">
        <w:rPr>
          <w:sz w:val="20"/>
          <w:szCs w:val="20"/>
        </w:rPr>
        <w:t xml:space="preserve">Согласно точка 6 став 2 од МСС 2, </w:t>
      </w:r>
      <w:r w:rsidRPr="003F04E5">
        <w:rPr>
          <w:sz w:val="20"/>
          <w:szCs w:val="20"/>
          <w:u w:val="single"/>
        </w:rPr>
        <w:t>залихите се дефинирани како средства</w:t>
      </w:r>
      <w:r w:rsidRPr="003F04E5">
        <w:rPr>
          <w:sz w:val="20"/>
          <w:szCs w:val="20"/>
        </w:rPr>
        <w:t>:</w:t>
      </w:r>
    </w:p>
    <w:p w14:paraId="010D8576" w14:textId="77777777" w:rsidR="00CE66F1" w:rsidRPr="003F04E5" w:rsidRDefault="00CE66F1" w:rsidP="00CE66F1">
      <w:pPr>
        <w:spacing w:before="120" w:after="120"/>
        <w:rPr>
          <w:sz w:val="20"/>
          <w:szCs w:val="20"/>
        </w:rPr>
      </w:pPr>
      <w:r w:rsidRPr="003F04E5">
        <w:rPr>
          <w:sz w:val="20"/>
          <w:szCs w:val="20"/>
        </w:rPr>
        <w:t xml:space="preserve">(a) </w:t>
      </w:r>
      <w:r w:rsidRPr="003F04E5">
        <w:rPr>
          <w:sz w:val="20"/>
          <w:szCs w:val="20"/>
          <w:u w:val="single"/>
        </w:rPr>
        <w:t>кои се чуваат за продажба во редовниот тек на работењето</w:t>
      </w:r>
      <w:r w:rsidRPr="003F04E5">
        <w:rPr>
          <w:sz w:val="20"/>
          <w:szCs w:val="20"/>
        </w:rPr>
        <w:t xml:space="preserve">; </w:t>
      </w:r>
    </w:p>
    <w:p w14:paraId="7EC5C0E7" w14:textId="77777777" w:rsidR="00CE66F1" w:rsidRPr="003F04E5" w:rsidRDefault="00CE66F1" w:rsidP="00CE66F1">
      <w:pPr>
        <w:spacing w:before="120" w:after="120"/>
        <w:rPr>
          <w:sz w:val="20"/>
          <w:szCs w:val="20"/>
        </w:rPr>
      </w:pPr>
      <w:r w:rsidRPr="003F04E5">
        <w:rPr>
          <w:sz w:val="20"/>
          <w:szCs w:val="20"/>
        </w:rPr>
        <w:t xml:space="preserve">(б) во процесот на производство наменето за продажба; или </w:t>
      </w:r>
    </w:p>
    <w:p w14:paraId="0386513D" w14:textId="77777777" w:rsidR="00CE66F1" w:rsidRPr="003F04E5" w:rsidRDefault="00CE66F1" w:rsidP="00CE66F1">
      <w:pPr>
        <w:spacing w:before="120" w:after="120"/>
        <w:rPr>
          <w:sz w:val="20"/>
          <w:szCs w:val="20"/>
          <w:lang w:val="ru-RU"/>
        </w:rPr>
      </w:pPr>
      <w:r w:rsidRPr="003F04E5">
        <w:rPr>
          <w:sz w:val="20"/>
          <w:szCs w:val="20"/>
        </w:rPr>
        <w:t>(в) во форма на суровини или помошни материјали што ќе бидат употребени во процесот</w:t>
      </w:r>
      <w:r w:rsidRPr="003F04E5">
        <w:rPr>
          <w:sz w:val="20"/>
          <w:szCs w:val="20"/>
          <w:lang w:val="ru-RU"/>
        </w:rPr>
        <w:t xml:space="preserve"> </w:t>
      </w:r>
      <w:r w:rsidRPr="003F04E5">
        <w:rPr>
          <w:sz w:val="20"/>
          <w:szCs w:val="20"/>
        </w:rPr>
        <w:t>на производството или во давањето на услугите.</w:t>
      </w:r>
    </w:p>
    <w:p w14:paraId="52E73ECA" w14:textId="77777777" w:rsidR="00CE66F1" w:rsidRPr="003F04E5" w:rsidRDefault="00CE66F1" w:rsidP="00CE66F1">
      <w:pPr>
        <w:spacing w:before="120" w:after="120"/>
        <w:rPr>
          <w:sz w:val="20"/>
          <w:szCs w:val="20"/>
          <w:lang w:val="ru-RU"/>
        </w:rPr>
      </w:pPr>
    </w:p>
    <w:p w14:paraId="0C60BCFA" w14:textId="77777777" w:rsidR="00CE66F1" w:rsidRPr="003F04E5" w:rsidRDefault="00CE66F1" w:rsidP="00CE66F1">
      <w:pPr>
        <w:spacing w:before="120" w:after="120"/>
        <w:rPr>
          <w:sz w:val="20"/>
          <w:szCs w:val="20"/>
        </w:rPr>
      </w:pPr>
      <w:r w:rsidRPr="003F04E5">
        <w:rPr>
          <w:sz w:val="20"/>
          <w:szCs w:val="20"/>
        </w:rPr>
        <w:t xml:space="preserve">Според точката 8 од МСС 2, залихите опфаќаат стоки кои се купени и се чуваат за препродажба вклучувајќи, на пример, трговска стока која е купена од трговец на мало и се чува за препродажба, или земјиште и </w:t>
      </w:r>
      <w:r w:rsidRPr="003F04E5">
        <w:rPr>
          <w:sz w:val="20"/>
          <w:szCs w:val="20"/>
          <w:u w:val="single"/>
        </w:rPr>
        <w:t>други недвижности кои се чуваат за препродажба</w:t>
      </w:r>
      <w:r w:rsidRPr="003F04E5">
        <w:rPr>
          <w:sz w:val="20"/>
          <w:szCs w:val="20"/>
        </w:rPr>
        <w:t xml:space="preserve">. </w:t>
      </w:r>
    </w:p>
    <w:p w14:paraId="763E8461" w14:textId="77777777" w:rsidR="00CE66F1" w:rsidRPr="003F04E5" w:rsidRDefault="00CE66F1" w:rsidP="00CE66F1">
      <w:pPr>
        <w:spacing w:before="120" w:after="120"/>
        <w:rPr>
          <w:sz w:val="20"/>
          <w:szCs w:val="20"/>
        </w:rPr>
      </w:pPr>
      <w:r w:rsidRPr="003F04E5">
        <w:rPr>
          <w:rFonts w:eastAsia="Times New Roman" w:cs="Times New Roman"/>
          <w:color w:val="auto"/>
          <w:sz w:val="20"/>
          <w:szCs w:val="20"/>
        </w:rPr>
        <w:t xml:space="preserve">Според точка 6 став 10 од МСС 16 - </w:t>
      </w:r>
      <w:r w:rsidRPr="003F04E5">
        <w:rPr>
          <w:rFonts w:eastAsia="Times New Roman" w:cs="Times New Roman"/>
          <w:i/>
          <w:iCs/>
          <w:color w:val="auto"/>
          <w:sz w:val="20"/>
          <w:szCs w:val="20"/>
        </w:rPr>
        <w:t>Недвижности, постројки и опрема</w:t>
      </w:r>
      <w:r w:rsidRPr="003F04E5">
        <w:rPr>
          <w:rFonts w:eastAsia="Times New Roman" w:cs="Times New Roman"/>
          <w:color w:val="auto"/>
          <w:sz w:val="20"/>
          <w:szCs w:val="20"/>
        </w:rPr>
        <w:t xml:space="preserve">, </w:t>
      </w:r>
      <w:r w:rsidRPr="003F04E5">
        <w:rPr>
          <w:rFonts w:eastAsia="Times New Roman" w:cs="Times New Roman"/>
          <w:color w:val="auto"/>
          <w:sz w:val="20"/>
          <w:szCs w:val="20"/>
          <w:u w:val="single"/>
        </w:rPr>
        <w:t>недвижности</w:t>
      </w:r>
      <w:r w:rsidRPr="003F04E5">
        <w:rPr>
          <w:rFonts w:eastAsia="Times New Roman" w:cs="Times New Roman"/>
          <w:color w:val="auto"/>
          <w:sz w:val="20"/>
          <w:szCs w:val="20"/>
        </w:rPr>
        <w:t xml:space="preserve">, постројки и опрема </w:t>
      </w:r>
      <w:r w:rsidRPr="003F04E5">
        <w:rPr>
          <w:rFonts w:eastAsia="Times New Roman" w:cs="Times New Roman"/>
          <w:color w:val="auto"/>
          <w:sz w:val="20"/>
          <w:szCs w:val="20"/>
          <w:u w:val="single"/>
        </w:rPr>
        <w:t>се материјални средства коишто</w:t>
      </w:r>
      <w:r w:rsidRPr="003F04E5">
        <w:rPr>
          <w:rFonts w:eastAsia="Times New Roman" w:cs="Times New Roman"/>
          <w:color w:val="auto"/>
          <w:sz w:val="20"/>
          <w:szCs w:val="20"/>
        </w:rPr>
        <w:t>:</w:t>
      </w:r>
    </w:p>
    <w:p w14:paraId="57697AF8" w14:textId="77777777" w:rsidR="00CE66F1" w:rsidRPr="003F04E5" w:rsidRDefault="00CE66F1" w:rsidP="00CE66F1">
      <w:pPr>
        <w:spacing w:before="120" w:after="120"/>
        <w:rPr>
          <w:sz w:val="20"/>
          <w:szCs w:val="20"/>
        </w:rPr>
      </w:pPr>
      <w:r w:rsidRPr="003F04E5">
        <w:rPr>
          <w:sz w:val="20"/>
          <w:szCs w:val="20"/>
        </w:rPr>
        <w:t xml:space="preserve"> а) </w:t>
      </w:r>
      <w:r w:rsidRPr="003F04E5">
        <w:rPr>
          <w:sz w:val="20"/>
          <w:szCs w:val="20"/>
          <w:u w:val="single"/>
        </w:rPr>
        <w:t>се чуваат за употреба во производството или снабдувањето со стоки или услуги, за изнајмување на други или за административни цели; и</w:t>
      </w:r>
    </w:p>
    <w:p w14:paraId="049F4E25" w14:textId="77777777" w:rsidR="00CE66F1" w:rsidRPr="003F04E5" w:rsidRDefault="00CE66F1" w:rsidP="00CE66F1">
      <w:pPr>
        <w:spacing w:before="120" w:after="120"/>
        <w:rPr>
          <w:sz w:val="20"/>
          <w:szCs w:val="20"/>
        </w:rPr>
      </w:pPr>
      <w:r w:rsidRPr="003F04E5">
        <w:rPr>
          <w:sz w:val="20"/>
          <w:szCs w:val="20"/>
        </w:rPr>
        <w:t xml:space="preserve"> б) </w:t>
      </w:r>
      <w:r w:rsidRPr="003F04E5">
        <w:rPr>
          <w:sz w:val="20"/>
          <w:szCs w:val="20"/>
          <w:u w:val="single"/>
        </w:rPr>
        <w:t>се очекува да се користат во повеќе од еден период</w:t>
      </w:r>
      <w:r w:rsidRPr="003F04E5">
        <w:rPr>
          <w:sz w:val="20"/>
          <w:szCs w:val="20"/>
        </w:rPr>
        <w:t>.</w:t>
      </w:r>
    </w:p>
    <w:p w14:paraId="6E8590F2" w14:textId="77777777" w:rsidR="00CE66F1" w:rsidRPr="003F04E5" w:rsidRDefault="00CE66F1" w:rsidP="00CE66F1">
      <w:pPr>
        <w:autoSpaceDE w:val="0"/>
        <w:autoSpaceDN w:val="0"/>
        <w:adjustRightInd w:val="0"/>
        <w:spacing w:before="120" w:after="120"/>
        <w:rPr>
          <w:sz w:val="20"/>
          <w:szCs w:val="20"/>
        </w:rPr>
      </w:pPr>
      <w:r w:rsidRPr="003F04E5">
        <w:rPr>
          <w:sz w:val="20"/>
          <w:szCs w:val="20"/>
        </w:rPr>
        <w:t>Според точка 7 од МСС 16, набавната вредност на ставка од недвижности, постројки и опрема треба да биде признаена како средство ако, и само ако:</w:t>
      </w:r>
    </w:p>
    <w:p w14:paraId="151673E6" w14:textId="77777777" w:rsidR="00CE66F1" w:rsidRPr="003F04E5" w:rsidRDefault="00CE66F1" w:rsidP="00CE66F1">
      <w:pPr>
        <w:autoSpaceDE w:val="0"/>
        <w:autoSpaceDN w:val="0"/>
        <w:adjustRightInd w:val="0"/>
        <w:spacing w:before="120" w:after="120"/>
        <w:rPr>
          <w:sz w:val="20"/>
          <w:szCs w:val="20"/>
        </w:rPr>
      </w:pPr>
      <w:r w:rsidRPr="003F04E5">
        <w:rPr>
          <w:sz w:val="20"/>
          <w:szCs w:val="20"/>
        </w:rPr>
        <w:t>(a) веројатно е дека идните економски придобивки поврзани со средството ќе се случат во ентитетот; и</w:t>
      </w:r>
    </w:p>
    <w:p w14:paraId="19690C42" w14:textId="77777777" w:rsidR="00CE66F1" w:rsidRPr="003F04E5" w:rsidRDefault="00CE66F1" w:rsidP="00CE66F1">
      <w:pPr>
        <w:autoSpaceDE w:val="0"/>
        <w:autoSpaceDN w:val="0"/>
        <w:adjustRightInd w:val="0"/>
        <w:spacing w:before="120" w:after="120"/>
        <w:rPr>
          <w:sz w:val="20"/>
          <w:szCs w:val="20"/>
        </w:rPr>
      </w:pPr>
      <w:r w:rsidRPr="003F04E5">
        <w:rPr>
          <w:sz w:val="20"/>
          <w:szCs w:val="20"/>
        </w:rPr>
        <w:t>(б) набавната вредност на средството може веродостојно да се измери.</w:t>
      </w:r>
    </w:p>
    <w:p w14:paraId="6E080150" w14:textId="77777777" w:rsidR="00CE66F1" w:rsidRPr="003F04E5" w:rsidRDefault="00CE66F1" w:rsidP="00CE66F1">
      <w:pPr>
        <w:autoSpaceDE w:val="0"/>
        <w:autoSpaceDN w:val="0"/>
        <w:adjustRightInd w:val="0"/>
        <w:spacing w:before="120" w:after="120"/>
        <w:rPr>
          <w:sz w:val="20"/>
          <w:szCs w:val="20"/>
        </w:rPr>
      </w:pPr>
      <w:r w:rsidRPr="003F04E5">
        <w:rPr>
          <w:sz w:val="20"/>
          <w:szCs w:val="20"/>
        </w:rPr>
        <w:t xml:space="preserve">Со МСС 40 - </w:t>
      </w:r>
      <w:r w:rsidRPr="003F04E5">
        <w:rPr>
          <w:i/>
          <w:iCs/>
          <w:sz w:val="20"/>
          <w:szCs w:val="20"/>
        </w:rPr>
        <w:t>Инвестициска недвижност</w:t>
      </w:r>
      <w:r w:rsidRPr="003F04E5">
        <w:rPr>
          <w:sz w:val="20"/>
          <w:szCs w:val="20"/>
        </w:rPr>
        <w:t>, се пропишува сметководствениот третман за инвестициска недвижност.</w:t>
      </w:r>
    </w:p>
    <w:p w14:paraId="442742E3" w14:textId="77777777" w:rsidR="00CE66F1" w:rsidRPr="003F04E5" w:rsidRDefault="00CE66F1" w:rsidP="00CE66F1">
      <w:pPr>
        <w:autoSpaceDE w:val="0"/>
        <w:autoSpaceDN w:val="0"/>
        <w:adjustRightInd w:val="0"/>
        <w:spacing w:before="120" w:after="120"/>
        <w:rPr>
          <w:sz w:val="20"/>
          <w:szCs w:val="20"/>
        </w:rPr>
      </w:pPr>
      <w:r w:rsidRPr="003F04E5">
        <w:rPr>
          <w:sz w:val="20"/>
          <w:szCs w:val="20"/>
        </w:rPr>
        <w:t>Според точка 5 став 5 од МСС 40, инвестициска недвижност е недвижност (земјиште или зграда или дел од зграда—или двете заедно) што се чува (од страна на сопственикот или корисникот на лизинг како средство со право на користење) за да се заработуваат наемнини или за зголемување  на капиталот или за двете заедно, наместо за:</w:t>
      </w:r>
    </w:p>
    <w:p w14:paraId="313DDCCD" w14:textId="77777777" w:rsidR="00CE66F1" w:rsidRPr="003F04E5" w:rsidRDefault="00CE66F1" w:rsidP="00CE66F1">
      <w:pPr>
        <w:autoSpaceDE w:val="0"/>
        <w:autoSpaceDN w:val="0"/>
        <w:adjustRightInd w:val="0"/>
        <w:spacing w:before="120" w:after="120"/>
        <w:rPr>
          <w:sz w:val="20"/>
          <w:szCs w:val="20"/>
        </w:rPr>
      </w:pPr>
      <w:r w:rsidRPr="003F04E5">
        <w:rPr>
          <w:sz w:val="20"/>
          <w:szCs w:val="20"/>
        </w:rPr>
        <w:t>(а) употреба во производство или набавка на производи или услуги или за административни</w:t>
      </w:r>
    </w:p>
    <w:p w14:paraId="2D4C7240" w14:textId="77777777" w:rsidR="00CE66F1" w:rsidRPr="003F04E5" w:rsidRDefault="00CE66F1" w:rsidP="00CE66F1">
      <w:pPr>
        <w:autoSpaceDE w:val="0"/>
        <w:autoSpaceDN w:val="0"/>
        <w:adjustRightInd w:val="0"/>
        <w:spacing w:before="120" w:after="120"/>
        <w:rPr>
          <w:sz w:val="20"/>
          <w:szCs w:val="20"/>
        </w:rPr>
      </w:pPr>
      <w:r w:rsidRPr="003F04E5">
        <w:rPr>
          <w:sz w:val="20"/>
          <w:szCs w:val="20"/>
        </w:rPr>
        <w:t xml:space="preserve"> цели; или</w:t>
      </w:r>
    </w:p>
    <w:p w14:paraId="68C7C98E" w14:textId="77777777" w:rsidR="00CE66F1" w:rsidRPr="003F04E5" w:rsidRDefault="00CE66F1" w:rsidP="00CE66F1">
      <w:pPr>
        <w:autoSpaceDE w:val="0"/>
        <w:autoSpaceDN w:val="0"/>
        <w:adjustRightInd w:val="0"/>
        <w:spacing w:before="120" w:after="120"/>
        <w:rPr>
          <w:sz w:val="20"/>
          <w:szCs w:val="20"/>
        </w:rPr>
      </w:pPr>
      <w:r w:rsidRPr="003F04E5">
        <w:rPr>
          <w:sz w:val="20"/>
          <w:szCs w:val="20"/>
        </w:rPr>
        <w:t>(б) продажба во редовниот тек на работењето.</w:t>
      </w:r>
    </w:p>
    <w:p w14:paraId="538C314A" w14:textId="77777777" w:rsidR="00CE66F1" w:rsidRPr="003F04E5" w:rsidRDefault="00CE66F1" w:rsidP="00CE66F1">
      <w:pPr>
        <w:autoSpaceDE w:val="0"/>
        <w:autoSpaceDN w:val="0"/>
        <w:adjustRightInd w:val="0"/>
        <w:spacing w:before="120" w:after="120"/>
        <w:rPr>
          <w:sz w:val="20"/>
          <w:szCs w:val="20"/>
        </w:rPr>
      </w:pPr>
      <w:r w:rsidRPr="003F04E5">
        <w:rPr>
          <w:sz w:val="20"/>
          <w:szCs w:val="20"/>
        </w:rPr>
        <w:t>Притоа, недвижност користена од сопственикот е недвижност што се чува (од сопственикот или корисникот на лизинг како средство со право на користење) за употреба во производство или за обезбедување производи или услуги или за административни цели (точка 6 од МСС 40).</w:t>
      </w:r>
    </w:p>
    <w:p w14:paraId="444BC284" w14:textId="77777777" w:rsidR="00CE66F1" w:rsidRPr="003F04E5" w:rsidRDefault="00CE66F1" w:rsidP="00CE66F1">
      <w:pPr>
        <w:autoSpaceDE w:val="0"/>
        <w:autoSpaceDN w:val="0"/>
        <w:adjustRightInd w:val="0"/>
        <w:spacing w:before="120" w:after="120"/>
        <w:rPr>
          <w:sz w:val="20"/>
          <w:szCs w:val="20"/>
        </w:rPr>
      </w:pPr>
      <w:r w:rsidRPr="003F04E5">
        <w:rPr>
          <w:sz w:val="20"/>
          <w:szCs w:val="20"/>
        </w:rPr>
        <w:t>Според точка 7 од МСС 40, инвестициска недвижност се чува за да се заработат наемнини или за зголемување на капиталот, или за двете. Поради тоа, инвестициската недвижност генерира готовински текови во голема мера независно од другите средства што ги поседува субјектот. Во тоа се разликува инвестициската недвижност од недвижностите што се користени од страна на сопственикот. Производството или набавката на производи или услуги (или употребата на недвижности за административни цели) создаваат готовински текови кои можат да им се припишат не само на недвижностите туку и на другите средства што се употребени во производството или процесот на набавка. МСС 16 се применува на недвижностите што се користени од страна на сопственикот и МСФИ 16 - Лизинг се применува на недвижностите што се користени од страна на сопственикот, а се чуваат од корисникот на лизинг како средство со право на користење.</w:t>
      </w:r>
    </w:p>
    <w:p w14:paraId="29722B9B" w14:textId="77777777" w:rsidR="00CE66F1" w:rsidRPr="003F04E5" w:rsidRDefault="00CE66F1" w:rsidP="00CE66F1">
      <w:pPr>
        <w:autoSpaceDE w:val="0"/>
        <w:autoSpaceDN w:val="0"/>
        <w:adjustRightInd w:val="0"/>
        <w:spacing w:before="120" w:after="120"/>
        <w:rPr>
          <w:sz w:val="20"/>
          <w:szCs w:val="20"/>
        </w:rPr>
      </w:pPr>
      <w:r w:rsidRPr="003F04E5">
        <w:rPr>
          <w:sz w:val="20"/>
          <w:szCs w:val="20"/>
        </w:rPr>
        <w:t>Според точка 8 од МСС 40, примери на инвестициски недвижности се следните:</w:t>
      </w:r>
    </w:p>
    <w:p w14:paraId="1BFF9122" w14:textId="77777777" w:rsidR="00CE66F1" w:rsidRPr="003F04E5" w:rsidRDefault="00CE66F1" w:rsidP="00CE66F1">
      <w:pPr>
        <w:numPr>
          <w:ilvl w:val="0"/>
          <w:numId w:val="27"/>
        </w:numPr>
        <w:autoSpaceDE w:val="0"/>
        <w:autoSpaceDN w:val="0"/>
        <w:adjustRightInd w:val="0"/>
        <w:spacing w:before="120" w:after="120"/>
        <w:ind w:firstLine="0"/>
        <w:contextualSpacing/>
        <w:rPr>
          <w:sz w:val="20"/>
          <w:szCs w:val="20"/>
        </w:rPr>
      </w:pPr>
      <w:r w:rsidRPr="003F04E5">
        <w:rPr>
          <w:sz w:val="20"/>
          <w:szCs w:val="20"/>
        </w:rPr>
        <w:t>Зграда која е поседувана од страна на субјектот (или средство со право на користење кое се однесува на зградата која е чувана од страна на субјектот) и дадена под лизинг под еден или под повеќе договори за оперативен лизинг.</w:t>
      </w:r>
    </w:p>
    <w:p w14:paraId="366F8531" w14:textId="77777777" w:rsidR="00CE66F1" w:rsidRPr="003F04E5" w:rsidRDefault="00CE66F1" w:rsidP="00CE66F1">
      <w:pPr>
        <w:numPr>
          <w:ilvl w:val="0"/>
          <w:numId w:val="27"/>
        </w:numPr>
        <w:autoSpaceDE w:val="0"/>
        <w:autoSpaceDN w:val="0"/>
        <w:adjustRightInd w:val="0"/>
        <w:spacing w:before="120" w:after="120"/>
        <w:ind w:firstLine="0"/>
        <w:contextualSpacing/>
        <w:rPr>
          <w:sz w:val="20"/>
          <w:szCs w:val="20"/>
        </w:rPr>
      </w:pPr>
      <w:r w:rsidRPr="003F04E5">
        <w:rPr>
          <w:sz w:val="20"/>
          <w:szCs w:val="20"/>
        </w:rPr>
        <w:lastRenderedPageBreak/>
        <w:t>Празна зграда, но која се чува за изнајмување под еден или под повеќе договори за оперативен лизинг.</w:t>
      </w:r>
    </w:p>
    <w:p w14:paraId="6F557959" w14:textId="77777777" w:rsidR="00CE66F1" w:rsidRPr="003F04E5" w:rsidRDefault="00CE66F1" w:rsidP="00CE66F1">
      <w:pPr>
        <w:numPr>
          <w:ilvl w:val="0"/>
          <w:numId w:val="27"/>
        </w:numPr>
        <w:autoSpaceDE w:val="0"/>
        <w:autoSpaceDN w:val="0"/>
        <w:adjustRightInd w:val="0"/>
        <w:spacing w:before="120" w:after="120"/>
        <w:ind w:firstLine="0"/>
        <w:contextualSpacing/>
        <w:rPr>
          <w:sz w:val="20"/>
          <w:szCs w:val="20"/>
        </w:rPr>
      </w:pPr>
      <w:r w:rsidRPr="003F04E5">
        <w:rPr>
          <w:sz w:val="20"/>
          <w:szCs w:val="20"/>
        </w:rPr>
        <w:t>Недвижност која се гради или доградува за идна употреба како инвестициска недвижност.</w:t>
      </w:r>
    </w:p>
    <w:p w14:paraId="3D1D2F49" w14:textId="77777777" w:rsidR="00CE66F1" w:rsidRPr="003F04E5" w:rsidRDefault="00CE66F1" w:rsidP="00CE66F1">
      <w:pPr>
        <w:autoSpaceDE w:val="0"/>
        <w:autoSpaceDN w:val="0"/>
        <w:adjustRightInd w:val="0"/>
        <w:spacing w:before="120" w:after="120"/>
        <w:rPr>
          <w:sz w:val="20"/>
          <w:szCs w:val="20"/>
        </w:rPr>
      </w:pPr>
      <w:r w:rsidRPr="003F04E5">
        <w:rPr>
          <w:sz w:val="20"/>
          <w:szCs w:val="20"/>
        </w:rPr>
        <w:t>Според точка 9 од МСС 40, примери на ставки кои не се инвестициски недвижности, и кои поради тоа се надвор од опфатот на овој стандард се:</w:t>
      </w:r>
    </w:p>
    <w:p w14:paraId="23ABE959" w14:textId="77777777" w:rsidR="00CE66F1" w:rsidRPr="003F04E5" w:rsidRDefault="00CE66F1" w:rsidP="00CE66F1">
      <w:pPr>
        <w:autoSpaceDE w:val="0"/>
        <w:autoSpaceDN w:val="0"/>
        <w:adjustRightInd w:val="0"/>
        <w:spacing w:before="120" w:after="120"/>
        <w:rPr>
          <w:sz w:val="20"/>
          <w:szCs w:val="20"/>
        </w:rPr>
      </w:pPr>
      <w:r w:rsidRPr="003F04E5">
        <w:rPr>
          <w:sz w:val="20"/>
          <w:szCs w:val="20"/>
        </w:rPr>
        <w:t>- Недвижности коишто се чуваат со намера за продажба во редовниот тек на работењето или во процесот на изградба или доградба за таква продажба (види МСС 2 Залихи), на пример, недвижности стекнати исклучиво со намера за последователно отуѓување во блиска иднина или за доградба и препродажба.</w:t>
      </w:r>
    </w:p>
    <w:p w14:paraId="1523CF68" w14:textId="77777777" w:rsidR="00CE66F1" w:rsidRPr="003F04E5" w:rsidRDefault="00CE66F1" w:rsidP="00CE66F1">
      <w:pPr>
        <w:autoSpaceDE w:val="0"/>
        <w:autoSpaceDN w:val="0"/>
        <w:adjustRightInd w:val="0"/>
        <w:spacing w:before="120" w:after="120"/>
        <w:rPr>
          <w:sz w:val="20"/>
          <w:szCs w:val="20"/>
        </w:rPr>
      </w:pPr>
      <w:r w:rsidRPr="003F04E5">
        <w:rPr>
          <w:sz w:val="20"/>
          <w:szCs w:val="20"/>
        </w:rPr>
        <w:t>- Недвижности што се користени од страна на сопственикот (види МСС 16 и МСФИ 16), вклучувајќи (меѓу другото) недвижности што се чуваат за идна употреба како недвижности што се користени од страна на сопственикот, недвижности што се чуваат за иден развој и последователна употреба како недвижности што се користени од страна на сопственикот, недвижности што се користени од страна на вработените (без оглед дали вработените плаќаат или не плаќаат наемнина според пазарни цени) и недвижности што се користени од страна на сопственикот, а на кои им претстои отуѓување.</w:t>
      </w:r>
    </w:p>
    <w:p w14:paraId="19D8749E" w14:textId="77777777" w:rsidR="00CE66F1" w:rsidRPr="003F04E5" w:rsidRDefault="00CE66F1" w:rsidP="00CE66F1">
      <w:pPr>
        <w:autoSpaceDE w:val="0"/>
        <w:autoSpaceDN w:val="0"/>
        <w:adjustRightInd w:val="0"/>
        <w:spacing w:before="120" w:after="120"/>
        <w:rPr>
          <w:sz w:val="20"/>
          <w:szCs w:val="20"/>
        </w:rPr>
      </w:pPr>
      <w:r w:rsidRPr="003F04E5">
        <w:rPr>
          <w:sz w:val="20"/>
          <w:szCs w:val="20"/>
        </w:rPr>
        <w:t>- Недвижности дадени под финансиски лизинг на друг субјект.</w:t>
      </w:r>
    </w:p>
    <w:p w14:paraId="1FFE8ED8" w14:textId="77777777" w:rsidR="00CE66F1" w:rsidRPr="003F04E5" w:rsidRDefault="00CE66F1" w:rsidP="00CE66F1">
      <w:pPr>
        <w:autoSpaceDE w:val="0"/>
        <w:autoSpaceDN w:val="0"/>
        <w:adjustRightInd w:val="0"/>
        <w:spacing w:before="120" w:after="120"/>
        <w:rPr>
          <w:sz w:val="20"/>
          <w:szCs w:val="20"/>
        </w:rPr>
      </w:pPr>
      <w:r w:rsidRPr="003F04E5">
        <w:rPr>
          <w:sz w:val="20"/>
          <w:szCs w:val="20"/>
        </w:rPr>
        <w:t xml:space="preserve">Според точка 10 од МСС 40, некои недвижности во себе содржат еден дел којшто се чува за заработка на наемнини или за зголемување на капиталот и друг дел којшто се чува за употреба во производството или за набавка на производи или услуги или за административни цели. Доколку овие делови би можеле да се продадат одделно (или одделно да се дадат под финансиски лизинг), субјектот сметководствено ги евидентира тие делови одвоено. </w:t>
      </w:r>
    </w:p>
    <w:p w14:paraId="03BAA5DA" w14:textId="77777777" w:rsidR="00CE66F1" w:rsidRPr="003F04E5" w:rsidRDefault="00CE66F1" w:rsidP="00CE66F1">
      <w:pPr>
        <w:autoSpaceDE w:val="0"/>
        <w:autoSpaceDN w:val="0"/>
        <w:adjustRightInd w:val="0"/>
        <w:spacing w:before="120" w:after="120"/>
        <w:rPr>
          <w:sz w:val="20"/>
          <w:szCs w:val="20"/>
        </w:rPr>
      </w:pPr>
      <w:r w:rsidRPr="003F04E5">
        <w:rPr>
          <w:sz w:val="20"/>
          <w:szCs w:val="20"/>
        </w:rPr>
        <w:t>Доколку деловите не можат да бидат продадени одделно, недвижноста е инвестициска недвижност само ако незначителен дел се чува за употреба во производство или за набавка на производи или услуги или за административни цели.</w:t>
      </w:r>
    </w:p>
    <w:p w14:paraId="2A794435" w14:textId="77777777" w:rsidR="00CE66F1" w:rsidRPr="003F04E5" w:rsidRDefault="00CE66F1" w:rsidP="00CE66F1">
      <w:pPr>
        <w:autoSpaceDE w:val="0"/>
        <w:autoSpaceDN w:val="0"/>
        <w:adjustRightInd w:val="0"/>
        <w:spacing w:before="120" w:after="120"/>
        <w:rPr>
          <w:sz w:val="20"/>
          <w:szCs w:val="20"/>
        </w:rPr>
      </w:pPr>
      <w:r w:rsidRPr="003F04E5">
        <w:rPr>
          <w:sz w:val="20"/>
          <w:szCs w:val="20"/>
        </w:rPr>
        <w:t>Според точка 16 од МСС 40, поседувана инвестициска недвижност треба да се признае како средство кога, и само кога, се исполнети следниве услови:</w:t>
      </w:r>
    </w:p>
    <w:p w14:paraId="093A7EF2" w14:textId="77777777" w:rsidR="00CE66F1" w:rsidRPr="003F04E5" w:rsidRDefault="00CE66F1" w:rsidP="00CE66F1">
      <w:pPr>
        <w:autoSpaceDE w:val="0"/>
        <w:autoSpaceDN w:val="0"/>
        <w:adjustRightInd w:val="0"/>
        <w:spacing w:before="120" w:after="120"/>
        <w:rPr>
          <w:sz w:val="20"/>
          <w:szCs w:val="20"/>
        </w:rPr>
      </w:pPr>
      <w:r w:rsidRPr="003F04E5">
        <w:rPr>
          <w:sz w:val="20"/>
          <w:szCs w:val="20"/>
        </w:rPr>
        <w:t>(а) веројатно е дека субјектот ќе има прилив на идни економски придобивки кои се поврзани со инвестициската недвижност; и</w:t>
      </w:r>
    </w:p>
    <w:p w14:paraId="2424CDA7" w14:textId="77777777" w:rsidR="00CE66F1" w:rsidRPr="003F04E5" w:rsidRDefault="00CE66F1" w:rsidP="00CE66F1">
      <w:pPr>
        <w:autoSpaceDE w:val="0"/>
        <w:autoSpaceDN w:val="0"/>
        <w:adjustRightInd w:val="0"/>
        <w:spacing w:before="120" w:after="120"/>
        <w:rPr>
          <w:sz w:val="20"/>
          <w:szCs w:val="20"/>
        </w:rPr>
      </w:pPr>
      <w:r w:rsidRPr="003F04E5">
        <w:rPr>
          <w:sz w:val="20"/>
          <w:szCs w:val="20"/>
        </w:rPr>
        <w:t>(б) набавната вредност на инвестициската недвижност може веродостојно да се измери.</w:t>
      </w:r>
    </w:p>
    <w:p w14:paraId="32F23AF0" w14:textId="77777777" w:rsidR="00CE66F1" w:rsidRPr="003F04E5" w:rsidRDefault="00CE66F1" w:rsidP="00CE66F1">
      <w:pPr>
        <w:autoSpaceDE w:val="0"/>
        <w:autoSpaceDN w:val="0"/>
        <w:adjustRightInd w:val="0"/>
        <w:spacing w:before="120" w:after="120"/>
        <w:rPr>
          <w:sz w:val="20"/>
          <w:szCs w:val="20"/>
        </w:rPr>
      </w:pPr>
      <w:r w:rsidRPr="003F04E5">
        <w:rPr>
          <w:sz w:val="20"/>
          <w:szCs w:val="20"/>
        </w:rPr>
        <w:t>Во однос на признавање на трошоците за амортизација со одредбата на член 9-а став 2 од ЗДД, е предвидено дека, трошоците за амортизација на материјалните средства се признаваат како расход во даночниот биланс до износот пресметан на набавната вредност на средствата со примена на амортизационите стапки утврдени со Номенклатурата на средствата за амортизација.</w:t>
      </w:r>
    </w:p>
    <w:p w14:paraId="11CBD6AB" w14:textId="77777777" w:rsidR="00CE66F1" w:rsidRPr="003F04E5" w:rsidRDefault="00CE66F1" w:rsidP="00CE66F1">
      <w:pPr>
        <w:spacing w:before="120" w:after="120"/>
        <w:rPr>
          <w:sz w:val="20"/>
          <w:szCs w:val="20"/>
        </w:rPr>
      </w:pPr>
      <w:r w:rsidRPr="003F04E5">
        <w:rPr>
          <w:sz w:val="20"/>
          <w:szCs w:val="20"/>
        </w:rPr>
        <w:t>Начинот на пресметување на амортизацијата на основните средства, годишните амортизациони стапки дозволени за даночни цели, како и отписот на вредноста на материјалните и нематеријалните средства подетално се уредени со Уредбата на Владата на РС Македонија за номенклатурата на средствата за амортизација и годишните амортизациони стапки, како и начинот на пресметување на амортизацијата, односно отписот на вредноста на материјалните и нематеријалните средства, објавена во Сл. весник на РС Македонија бр. 277/2019, (во натамошниот текст: Уредбата).</w:t>
      </w:r>
    </w:p>
    <w:p w14:paraId="53F70A8D" w14:textId="77777777" w:rsidR="00CE66F1" w:rsidRPr="003F04E5" w:rsidRDefault="00CE66F1" w:rsidP="00CE66F1">
      <w:pPr>
        <w:spacing w:before="120" w:after="120"/>
        <w:rPr>
          <w:sz w:val="20"/>
          <w:szCs w:val="20"/>
        </w:rPr>
      </w:pPr>
      <w:r w:rsidRPr="003F04E5">
        <w:rPr>
          <w:sz w:val="20"/>
          <w:szCs w:val="20"/>
        </w:rPr>
        <w:t xml:space="preserve">Под материјални средства, согласно член 2 од Уредбата, се сметаат предметите чиј поединечен трошок на набавка е поголем од 500 евра во денарска противвредност и корисниот век на употреба е подолг од </w:t>
      </w:r>
      <w:r w:rsidRPr="003F04E5">
        <w:rPr>
          <w:sz w:val="20"/>
          <w:szCs w:val="20"/>
        </w:rPr>
        <w:lastRenderedPageBreak/>
        <w:t>една година, вклучително и градежните објекти со кои располага даночниот обврзник и кои служат за вршење на неговата дејност.</w:t>
      </w:r>
    </w:p>
    <w:p w14:paraId="475CB869" w14:textId="77777777" w:rsidR="00CE66F1" w:rsidRPr="003F04E5" w:rsidRDefault="00CE66F1" w:rsidP="00CE66F1">
      <w:pPr>
        <w:spacing w:before="120" w:after="120"/>
        <w:rPr>
          <w:sz w:val="20"/>
          <w:szCs w:val="20"/>
          <w:lang w:val="ru-RU"/>
        </w:rPr>
      </w:pPr>
    </w:p>
    <w:p w14:paraId="4B1B7148" w14:textId="77777777" w:rsidR="00CE66F1" w:rsidRPr="003F04E5" w:rsidRDefault="00CE66F1" w:rsidP="00CE66F1">
      <w:pPr>
        <w:spacing w:before="120" w:after="120"/>
        <w:rPr>
          <w:sz w:val="20"/>
          <w:szCs w:val="20"/>
        </w:rPr>
      </w:pPr>
      <w:r w:rsidRPr="003F04E5">
        <w:rPr>
          <w:sz w:val="20"/>
          <w:szCs w:val="20"/>
        </w:rPr>
        <w:t>Членот 4 од Уредбата пропишува дека амортизацијата односно отписот на вредноста на средствата се врши со праволиниска метода со примена на годишните амортизациони стапки утврдени со оваа Уредба, кои за цели на оданочувањето може да се зголемат најмногу до 50%. Така пресметаната амортизација на средствата се признава како расход за даночни цели во даночниот биланс согласно со член 9-a став 2 од ЗДД.</w:t>
      </w:r>
    </w:p>
    <w:p w14:paraId="76D5A886" w14:textId="77777777" w:rsidR="00CE66F1" w:rsidRPr="003F04E5" w:rsidRDefault="00CE66F1" w:rsidP="00CE66F1">
      <w:pPr>
        <w:spacing w:before="120" w:after="120"/>
        <w:rPr>
          <w:sz w:val="20"/>
          <w:szCs w:val="20"/>
          <w:lang w:val="ru-RU"/>
        </w:rPr>
      </w:pPr>
      <w:r w:rsidRPr="003F04E5">
        <w:rPr>
          <w:sz w:val="20"/>
          <w:szCs w:val="20"/>
        </w:rPr>
        <w:t xml:space="preserve">Основица за пресметување на амортизацијата претставува набавната, односно ревалоризационата вредност на средството. Набавната вредност на средството се утврдува во согласност со прифатените меѓународни стандарди за финансиско известување и прифатените меѓународни стандарди за финансиско известување за мали и средни субјекти, и истата ја сочинува куповната цена (фактурната вредност) зголемена за увозните давачки и даноците кои не се рефундираат при купувањето и сите други издатоци кои директно се припишуваат на подготвување на средството за неговата наменета употреба. Сите трговски попусти и рабати искажани во фактурната вредност се одбиваат при утврдување на набавната вредност на средството. Основицата за пресметување на амортизација се корегира за последователните издатоци во согласност со сметководствените стандарди со кои се зголемува очекуваната корист на средството за даночниот обврзник, односно за вложувањата поради реконструкција, адаптација или други вложувања со кои се зголемува корисниот век на употреба, капацитетот, функционалната поврзаност и слично. </w:t>
      </w:r>
    </w:p>
    <w:p w14:paraId="7DAF26EB" w14:textId="77777777" w:rsidR="00CE66F1" w:rsidRPr="003F04E5" w:rsidRDefault="00CE66F1" w:rsidP="00CE66F1">
      <w:pPr>
        <w:spacing w:before="120" w:after="120"/>
        <w:rPr>
          <w:sz w:val="20"/>
          <w:szCs w:val="20"/>
          <w:lang w:val="ru-RU"/>
        </w:rPr>
      </w:pPr>
      <w:r w:rsidRPr="003F04E5">
        <w:rPr>
          <w:sz w:val="20"/>
          <w:szCs w:val="20"/>
        </w:rPr>
        <w:t>Променетата вредноста на средството по основ на последователните издатоци претставува основица за натамошно пресметување на амортизацијата, од денот кога издатоците настанале, односно кога се утврдени  (член 5 ставови 1, 3, 4 и 5 од Уредбата).</w:t>
      </w:r>
    </w:p>
    <w:p w14:paraId="43750A85" w14:textId="77777777" w:rsidR="00CE66F1" w:rsidRPr="003F04E5" w:rsidRDefault="00CE66F1" w:rsidP="00CE66F1">
      <w:pPr>
        <w:spacing w:before="120" w:after="120"/>
        <w:rPr>
          <w:sz w:val="20"/>
          <w:szCs w:val="20"/>
          <w:lang w:val="ru-RU"/>
        </w:rPr>
      </w:pPr>
      <w:r w:rsidRPr="003F04E5">
        <w:rPr>
          <w:sz w:val="20"/>
          <w:szCs w:val="20"/>
        </w:rPr>
        <w:t>Трошокот по основ на амортизација на средствата се признава како расход во даночниот биланс од денот кога средството станало расположливо за употреба (член 7 од Уредбата).</w:t>
      </w:r>
    </w:p>
    <w:p w14:paraId="7C21619C" w14:textId="77777777" w:rsidR="00CE66F1" w:rsidRPr="003F04E5" w:rsidRDefault="00CE66F1" w:rsidP="00CE66F1">
      <w:pPr>
        <w:spacing w:before="120" w:after="120"/>
        <w:rPr>
          <w:rFonts w:cs="StobiSerif Regular"/>
          <w:color w:val="auto"/>
          <w:sz w:val="20"/>
          <w:szCs w:val="20"/>
          <w:lang w:val="ru-RU" w:eastAsia="fi-FI"/>
        </w:rPr>
      </w:pPr>
      <w:r w:rsidRPr="003F04E5">
        <w:rPr>
          <w:rFonts w:cs="StobiSerif Regular"/>
          <w:color w:val="auto"/>
          <w:sz w:val="20"/>
          <w:szCs w:val="20"/>
          <w:lang w:eastAsia="fi-FI"/>
        </w:rPr>
        <w:t>Според точка 1.1. од Номенклатурата на средствата за амортизација и годишните амортизациони стапки, која е составен дел од Уредбата, годишна стапка на амортизација пропишана за градежни објекти на високоградба и нискоградба од армирано бетонска и метална конструкција (згради, мостови, тунели, надвозници, нафтоводи, гасоводи, водоводи и далеководи), како и градежни објекти кои се сметаат за самостојни градежни објекти изнесува 2,5%. За даночни цели, согласно член 4 став 2 од Уредбата, највисоко дозволена годишна стапка на амортизација за градежните објекти од точка 1.1. изнесува 3,75%.</w:t>
      </w:r>
    </w:p>
    <w:p w14:paraId="27AAA0F3" w14:textId="77777777" w:rsidR="00CE66F1" w:rsidRPr="003F04E5" w:rsidRDefault="00CE66F1" w:rsidP="00CE66F1">
      <w:pPr>
        <w:spacing w:before="120" w:after="120"/>
        <w:rPr>
          <w:sz w:val="20"/>
          <w:szCs w:val="20"/>
        </w:rPr>
      </w:pPr>
      <w:r w:rsidRPr="003F04E5">
        <w:rPr>
          <w:sz w:val="20"/>
          <w:szCs w:val="20"/>
        </w:rPr>
        <w:t>Согласно одредбите цитирани погоре, како и информациите изнесени во Вашето прашање, на мислење сме дека:</w:t>
      </w:r>
    </w:p>
    <w:p w14:paraId="57ED46BE" w14:textId="77777777" w:rsidR="00CE66F1" w:rsidRPr="003F04E5" w:rsidRDefault="00CE66F1" w:rsidP="00CE66F1">
      <w:pPr>
        <w:numPr>
          <w:ilvl w:val="0"/>
          <w:numId w:val="28"/>
        </w:numPr>
        <w:spacing w:before="120" w:after="120"/>
        <w:ind w:firstLine="0"/>
        <w:contextualSpacing/>
        <w:rPr>
          <w:sz w:val="20"/>
          <w:szCs w:val="20"/>
        </w:rPr>
      </w:pPr>
      <w:r w:rsidRPr="003F04E5">
        <w:rPr>
          <w:sz w:val="20"/>
          <w:szCs w:val="20"/>
        </w:rPr>
        <w:t>Доколку предметниот стан е набавен и стекнат исклучиво со намера за отуѓување во блиска иднина, согласно МСС 2, истиот може да се евидентира како залиха</w:t>
      </w:r>
      <w:r w:rsidRPr="003F04E5">
        <w:rPr>
          <w:i/>
          <w:iCs/>
          <w:sz w:val="20"/>
          <w:szCs w:val="20"/>
        </w:rPr>
        <w:t xml:space="preserve"> </w:t>
      </w:r>
      <w:r w:rsidRPr="003F04E5">
        <w:rPr>
          <w:sz w:val="20"/>
          <w:szCs w:val="20"/>
        </w:rPr>
        <w:t>која се чува за продажба во редовниот тек на работење. Залихите како средства не подлежат на амортизација.</w:t>
      </w:r>
    </w:p>
    <w:p w14:paraId="193B1196" w14:textId="15A0A112" w:rsidR="009157F7" w:rsidRPr="00CE66F1" w:rsidRDefault="00CE66F1" w:rsidP="00CE66F1">
      <w:pPr>
        <w:numPr>
          <w:ilvl w:val="0"/>
          <w:numId w:val="28"/>
        </w:numPr>
        <w:spacing w:before="120" w:after="120"/>
        <w:ind w:firstLine="0"/>
        <w:contextualSpacing/>
        <w:rPr>
          <w:sz w:val="20"/>
          <w:szCs w:val="20"/>
        </w:rPr>
      </w:pPr>
      <w:r w:rsidRPr="003F04E5">
        <w:rPr>
          <w:sz w:val="20"/>
          <w:szCs w:val="20"/>
        </w:rPr>
        <w:t xml:space="preserve">Стан како недвижност се признава во сметководствената евиденција како основно средство односно материјално средство, кога истото се признава и вреднува во согласност со насоките од МСС 16, односно кога се чува за употреба во производството или снабдувањето со стоки или услуги, за изнајмување на други или за административни цели и кога се очекува да се користи во повеќе од еден период. Во овој случај станот подлежи на амортизација односно трошоците за амортизација на станот како основно средството за даночни цели, ќе се </w:t>
      </w:r>
      <w:r w:rsidRPr="003F04E5">
        <w:rPr>
          <w:sz w:val="20"/>
          <w:szCs w:val="20"/>
        </w:rPr>
        <w:lastRenderedPageBreak/>
        <w:t xml:space="preserve">признаваат согласно членот 9-а став 2 од ЗДД </w:t>
      </w:r>
      <w:r w:rsidRPr="003F04E5">
        <w:rPr>
          <w:rFonts w:cs="StobiSerif Regular"/>
          <w:sz w:val="20"/>
          <w:szCs w:val="20"/>
        </w:rPr>
        <w:t xml:space="preserve">како расход во даночниот биланс до износот пресметан на набавната вредност на средствата со примена на амортизационата стапка </w:t>
      </w:r>
      <w:r w:rsidRPr="003F04E5">
        <w:rPr>
          <w:rFonts w:cs="StobiSerif Regular"/>
          <w:color w:val="auto"/>
          <w:sz w:val="20"/>
          <w:szCs w:val="20"/>
          <w:lang w:eastAsia="fi-FI"/>
        </w:rPr>
        <w:t>од точката 1.1 од Номенклатурата</w:t>
      </w:r>
      <w:r w:rsidRPr="003F04E5">
        <w:rPr>
          <w:sz w:val="20"/>
          <w:szCs w:val="20"/>
        </w:rPr>
        <w:t xml:space="preserve"> </w:t>
      </w:r>
      <w:r w:rsidRPr="003F04E5">
        <w:rPr>
          <w:rFonts w:cs="StobiSerif Regular"/>
          <w:color w:val="auto"/>
          <w:sz w:val="20"/>
          <w:szCs w:val="20"/>
          <w:lang w:eastAsia="fi-FI"/>
        </w:rPr>
        <w:t xml:space="preserve">на средствата за амортизација, која за даночни цели изнесува најмногу до 3,75% годишно. </w:t>
      </w:r>
    </w:p>
    <w:sectPr w:rsidR="009157F7" w:rsidRPr="00CE66F1"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494026" w14:textId="77777777" w:rsidR="007872E2" w:rsidRPr="00C567EE" w:rsidRDefault="007872E2" w:rsidP="00805345">
      <w:r w:rsidRPr="00C567EE">
        <w:separator/>
      </w:r>
    </w:p>
  </w:endnote>
  <w:endnote w:type="continuationSeparator" w:id="0">
    <w:p w14:paraId="11EE5A23" w14:textId="77777777" w:rsidR="007872E2" w:rsidRPr="00C567EE" w:rsidRDefault="007872E2"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4185D2" w14:textId="77777777" w:rsidR="007872E2" w:rsidRPr="00C567EE" w:rsidRDefault="007872E2" w:rsidP="00805345">
      <w:r w:rsidRPr="00C567EE">
        <w:separator/>
      </w:r>
    </w:p>
  </w:footnote>
  <w:footnote w:type="continuationSeparator" w:id="0">
    <w:p w14:paraId="2F259B40" w14:textId="77777777" w:rsidR="007872E2" w:rsidRPr="00C567EE" w:rsidRDefault="007872E2"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1"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5"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9"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2"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26"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25"/>
  </w:num>
  <w:num w:numId="2" w16cid:durableId="1900096440">
    <w:abstractNumId w:val="21"/>
  </w:num>
  <w:num w:numId="3" w16cid:durableId="160033430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17"/>
  </w:num>
  <w:num w:numId="8" w16cid:durableId="621112521">
    <w:abstractNumId w:val="5"/>
  </w:num>
  <w:num w:numId="9" w16cid:durableId="1622804002">
    <w:abstractNumId w:val="26"/>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2"/>
  </w:num>
  <w:num w:numId="12" w16cid:durableId="870530504">
    <w:abstractNumId w:val="23"/>
  </w:num>
  <w:num w:numId="13" w16cid:durableId="714353434">
    <w:abstractNumId w:val="11"/>
  </w:num>
  <w:num w:numId="14" w16cid:durableId="1341006038">
    <w:abstractNumId w:val="9"/>
  </w:num>
  <w:num w:numId="15" w16cid:durableId="788474779">
    <w:abstractNumId w:val="1"/>
  </w:num>
  <w:num w:numId="16" w16cid:durableId="639068706">
    <w:abstractNumId w:val="20"/>
  </w:num>
  <w:num w:numId="17" w16cid:durableId="479928752">
    <w:abstractNumId w:val="0"/>
  </w:num>
  <w:num w:numId="18" w16cid:durableId="2018384905">
    <w:abstractNumId w:val="18"/>
  </w:num>
  <w:num w:numId="19" w16cid:durableId="2136213879">
    <w:abstractNumId w:val="2"/>
  </w:num>
  <w:num w:numId="20" w16cid:durableId="694765918">
    <w:abstractNumId w:val="22"/>
  </w:num>
  <w:num w:numId="21" w16cid:durableId="69894198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15"/>
  </w:num>
  <w:num w:numId="24" w16cid:durableId="1315838814">
    <w:abstractNumId w:val="6"/>
  </w:num>
  <w:num w:numId="25" w16cid:durableId="818617000">
    <w:abstractNumId w:val="24"/>
  </w:num>
  <w:num w:numId="26" w16cid:durableId="1199777193">
    <w:abstractNumId w:val="27"/>
  </w:num>
  <w:num w:numId="27" w16cid:durableId="444814318">
    <w:abstractNumId w:val="8"/>
  </w:num>
  <w:num w:numId="28" w16cid:durableId="198933697">
    <w:abstractNumId w:val="1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A85"/>
    <w:rsid w:val="00006849"/>
    <w:rsid w:val="00006974"/>
    <w:rsid w:val="00010860"/>
    <w:rsid w:val="0001714E"/>
    <w:rsid w:val="00021DBC"/>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45A5"/>
    <w:rsid w:val="003A564E"/>
    <w:rsid w:val="003A6CDF"/>
    <w:rsid w:val="003A7717"/>
    <w:rsid w:val="003C11FC"/>
    <w:rsid w:val="003C3572"/>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4764"/>
    <w:rsid w:val="004E5E52"/>
    <w:rsid w:val="004F4D2F"/>
    <w:rsid w:val="004F61E9"/>
    <w:rsid w:val="00500AF3"/>
    <w:rsid w:val="005114E4"/>
    <w:rsid w:val="005127C6"/>
    <w:rsid w:val="00512A36"/>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872E2"/>
    <w:rsid w:val="0079371C"/>
    <w:rsid w:val="00795B0D"/>
    <w:rsid w:val="007A1599"/>
    <w:rsid w:val="007A1A77"/>
    <w:rsid w:val="007A252F"/>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901ED9"/>
    <w:rsid w:val="00903F2C"/>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1985</Words>
  <Characters>11319</Characters>
  <Application>Microsoft Office Word</Application>
  <DocSecurity>0</DocSecurity>
  <Lines>94</Lines>
  <Paragraphs>26</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13278</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2025-10-22T10:36:00Z</dcterms:created>
  <dcterms:modified xsi:type="dcterms:W3CDTF">2025-10-22T10:36:00Z</dcterms:modified>
</cp:coreProperties>
</file>