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516C9" w14:textId="77777777" w:rsidR="009776DE" w:rsidRPr="003F04E5" w:rsidRDefault="009776DE" w:rsidP="009776DE">
      <w:pPr>
        <w:spacing w:before="120" w:after="120"/>
        <w:rPr>
          <w:sz w:val="20"/>
          <w:szCs w:val="20"/>
          <w:lang w:val="ru-RU"/>
        </w:rPr>
      </w:pPr>
      <w:r w:rsidRPr="003F04E5">
        <w:rPr>
          <w:sz w:val="20"/>
          <w:szCs w:val="20"/>
        </w:rPr>
        <w:t xml:space="preserve">МИСЛЕЊЕ од </w:t>
      </w:r>
      <w:r w:rsidRPr="003F04E5">
        <w:rPr>
          <w:sz w:val="20"/>
          <w:szCs w:val="20"/>
          <w:lang w:val="ru-RU"/>
        </w:rPr>
        <w:t>28.04.2025:</w:t>
      </w:r>
    </w:p>
    <w:p w14:paraId="6387FB34"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 xml:space="preserve">Почитувани,    </w:t>
      </w:r>
    </w:p>
    <w:p w14:paraId="72BCE017"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Ви благодариме на Вашето барање. Во врска со истото, Управата за јавни приходи Ве известува:</w:t>
      </w:r>
    </w:p>
    <w:p w14:paraId="52EDC944"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074F19BC"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009B0795"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567EA124"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52F8BCE4"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2B7361D4"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 xml:space="preserve">Според точката 48 и 49 од МСС 16 - </w:t>
      </w:r>
      <w:r w:rsidRPr="003F04E5">
        <w:rPr>
          <w:rFonts w:cs="StobiSerif Regular"/>
          <w:bCs/>
          <w:i/>
          <w:iCs/>
          <w:sz w:val="20"/>
          <w:szCs w:val="20"/>
          <w:lang w:eastAsia="x-none"/>
        </w:rPr>
        <w:t>Недвижности, постројки и опрема</w:t>
      </w:r>
      <w:r w:rsidRPr="003F04E5">
        <w:rPr>
          <w:rFonts w:cs="StobiSerif Regular"/>
          <w:bCs/>
          <w:sz w:val="20"/>
          <w:szCs w:val="20"/>
          <w:lang w:eastAsia="x-none"/>
        </w:rPr>
        <w:t xml:space="preserve">, </w:t>
      </w:r>
      <w:r w:rsidRPr="003F04E5">
        <w:rPr>
          <w:rFonts w:cs="StobiSerif Regular"/>
          <w:bCs/>
          <w:sz w:val="20"/>
          <w:szCs w:val="20"/>
          <w:u w:val="single"/>
          <w:lang w:eastAsia="x-none"/>
        </w:rPr>
        <w:t>трошокот за депрецијација за секој период треба да биде признат во добивка или загуба</w:t>
      </w:r>
      <w:r w:rsidRPr="003F04E5">
        <w:rPr>
          <w:rFonts w:cs="StobiSerif Regular"/>
          <w:bCs/>
          <w:sz w:val="20"/>
          <w:szCs w:val="20"/>
          <w:lang w:eastAsia="x-none"/>
        </w:rPr>
        <w:t xml:space="preserve">, освен ако тој не е вклучен во сметководствената вредност на друго средство. </w:t>
      </w:r>
      <w:r w:rsidRPr="003F04E5">
        <w:rPr>
          <w:rFonts w:cs="StobiSerif Regular"/>
          <w:bCs/>
          <w:sz w:val="20"/>
          <w:szCs w:val="20"/>
          <w:u w:val="single"/>
          <w:lang w:eastAsia="x-none"/>
        </w:rPr>
        <w:t>Трошокот за депрецијација за периодот вообичаено се признава во добивка или загуба како расход.</w:t>
      </w:r>
    </w:p>
    <w:p w14:paraId="047CC42E"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 xml:space="preserve">Според точка 50 од МСС 16, </w:t>
      </w:r>
      <w:r w:rsidRPr="003F04E5">
        <w:rPr>
          <w:rFonts w:cs="StobiSerif Regular"/>
          <w:bCs/>
          <w:sz w:val="20"/>
          <w:szCs w:val="20"/>
          <w:u w:val="single"/>
          <w:lang w:eastAsia="x-none"/>
        </w:rPr>
        <w:t>износот по којшто се депрецира средството треба да биде алоциран на системска основа во текот на корисниот век</w:t>
      </w:r>
      <w:r w:rsidRPr="003F04E5">
        <w:rPr>
          <w:rFonts w:cs="StobiSerif Regular"/>
          <w:bCs/>
          <w:sz w:val="20"/>
          <w:szCs w:val="20"/>
          <w:lang w:eastAsia="x-none"/>
        </w:rPr>
        <w:t>.</w:t>
      </w:r>
    </w:p>
    <w:p w14:paraId="417EDB19" w14:textId="77777777" w:rsidR="009776DE" w:rsidRPr="003F04E5" w:rsidRDefault="009776DE" w:rsidP="009776DE">
      <w:pPr>
        <w:spacing w:before="120" w:after="120"/>
        <w:rPr>
          <w:rFonts w:cs="StobiSerif Regular"/>
          <w:bCs/>
          <w:sz w:val="20"/>
          <w:szCs w:val="20"/>
          <w:lang w:val="ru-RU" w:eastAsia="x-none"/>
        </w:rPr>
      </w:pPr>
      <w:r w:rsidRPr="003F04E5">
        <w:rPr>
          <w:rFonts w:cs="StobiSerif Regular"/>
          <w:bCs/>
          <w:sz w:val="20"/>
          <w:szCs w:val="20"/>
          <w:lang w:eastAsia="x-none"/>
        </w:rPr>
        <w:t xml:space="preserve">Во точката 55 од МСС 16 е наведено дека, </w:t>
      </w:r>
      <w:r w:rsidRPr="003F04E5">
        <w:rPr>
          <w:rFonts w:cs="StobiSerif Regular"/>
          <w:bCs/>
          <w:sz w:val="20"/>
          <w:szCs w:val="20"/>
          <w:u w:val="single"/>
          <w:lang w:eastAsia="x-none"/>
        </w:rPr>
        <w:t xml:space="preserve">средството започнува да се депрецира кога тоа станува расположливо за употреба, т.е. кога е на локацијата и е во состојба неопходна за тоа да биде оперативно способно на начин предвиден од страна на раководството. Според методите на </w:t>
      </w:r>
      <w:r w:rsidRPr="003F04E5">
        <w:rPr>
          <w:rFonts w:cs="StobiSerif Regular"/>
          <w:bCs/>
          <w:sz w:val="20"/>
          <w:szCs w:val="20"/>
          <w:u w:val="single"/>
          <w:lang w:eastAsia="x-none"/>
        </w:rPr>
        <w:lastRenderedPageBreak/>
        <w:t>депрецијација поврзани со користење на средството, трошокот за депрецијација може да биде нула доколку нема производство</w:t>
      </w:r>
      <w:r w:rsidRPr="003F04E5">
        <w:rPr>
          <w:rFonts w:cs="StobiSerif Regular"/>
          <w:bCs/>
          <w:sz w:val="20"/>
          <w:szCs w:val="20"/>
          <w:lang w:eastAsia="x-none"/>
        </w:rPr>
        <w:t>.</w:t>
      </w:r>
    </w:p>
    <w:p w14:paraId="3AA82560"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Во однос на признавање на трошоците за амортизација со одредбата на член 9-а став 2 од ЗДД, е предвидено дека трошоците за амортизација на 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w:t>
      </w:r>
    </w:p>
    <w:p w14:paraId="5FAE9ECD"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 Македонија бр. 277/2019, (во натамошниот текст: Уредбата).</w:t>
      </w:r>
    </w:p>
    <w:p w14:paraId="490F10E3"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Под материјални средства, согласно член 2 од Уредбата,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Како материјални средства се сметаат градежните објекти, постројките и опремата, алатот, погонскиот и канцеларискиот инвентар, компјутерската опрема вклучувајќи ги и софтверите, мебелот, транспортните уреди и средства, биолошките средства (повеќегодишни насади и основни стада), со кои располага даночниот обврзник и кои служат за вршење на неговата дејност.</w:t>
      </w:r>
    </w:p>
    <w:p w14:paraId="6207BC50"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Членот 4 од Уредбата пропишува дека амортизацијата односно отписот на вредноста на средствата се врши со праволиниска метода со примена на годишните амортизациони стапки утврдени со оваа Уредба,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5DD03FD3"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lang w:eastAsia="x-none"/>
        </w:rPr>
        <w:t>Основица за пресметување на амортизацијата претставува набавната, односно ревалоризационата вредност на средството. Набавната вредност на средството се утврдува во согласност со прифатените меѓународни стандарди за финансиско известување и прифатените меѓународни стандарди за финансиско известување за мали и средни субјекти, и истата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на средството. Основицата за пресметување на амортизација се корегира за последователните издатоци 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 век на употреба, капацитетот, функционалната поврзаност и слично. Променетата вредноста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ставови 1, 3, 4 и 5 од Уредбата).</w:t>
      </w:r>
    </w:p>
    <w:p w14:paraId="192D57AC" w14:textId="77777777" w:rsidR="009776DE" w:rsidRPr="003F04E5" w:rsidRDefault="009776DE" w:rsidP="009776DE">
      <w:pPr>
        <w:spacing w:before="120" w:after="120"/>
        <w:rPr>
          <w:rFonts w:cs="StobiSerif Regular"/>
          <w:bCs/>
          <w:sz w:val="20"/>
          <w:szCs w:val="20"/>
          <w:lang w:eastAsia="x-none"/>
        </w:rPr>
      </w:pPr>
      <w:r w:rsidRPr="003F04E5">
        <w:rPr>
          <w:rFonts w:cs="StobiSerif Regular"/>
          <w:bCs/>
          <w:sz w:val="20"/>
          <w:szCs w:val="20"/>
          <w:u w:val="single"/>
          <w:lang w:eastAsia="x-none"/>
        </w:rPr>
        <w:t>Трошокот по основ на амортизација на средствата се признава како расход во даночниот биланс од денот кога средството станало расположливо за употреба</w:t>
      </w:r>
      <w:r w:rsidRPr="003F04E5">
        <w:rPr>
          <w:rFonts w:cs="StobiSerif Regular"/>
          <w:bCs/>
          <w:sz w:val="20"/>
          <w:szCs w:val="20"/>
          <w:lang w:eastAsia="x-none"/>
        </w:rPr>
        <w:t xml:space="preserve"> (член 7 од Уредбата). </w:t>
      </w:r>
    </w:p>
    <w:p w14:paraId="7B89290A" w14:textId="77777777" w:rsidR="009776DE" w:rsidRDefault="009776DE" w:rsidP="009776DE">
      <w:pPr>
        <w:spacing w:before="120" w:after="120"/>
        <w:rPr>
          <w:rFonts w:cs="StobiSerif Regular"/>
          <w:bCs/>
          <w:sz w:val="20"/>
          <w:szCs w:val="20"/>
          <w:lang w:eastAsia="x-none"/>
        </w:rPr>
      </w:pPr>
      <w:r w:rsidRPr="003F04E5">
        <w:rPr>
          <w:rFonts w:cs="StobiSerif Regular"/>
          <w:bCs/>
          <w:sz w:val="20"/>
          <w:szCs w:val="20"/>
        </w:rPr>
        <w:t>Врз основа на одредбите цитирани погоре, како и информациите изнесени во Вашето прашање на мислење сме дека</w:t>
      </w:r>
      <w:r w:rsidRPr="003F04E5">
        <w:rPr>
          <w:sz w:val="20"/>
          <w:szCs w:val="20"/>
        </w:rPr>
        <w:t xml:space="preserve"> електричната централа која е пуштена во употреба на 31.01.2024  година, треба да започне да се амортизира кога </w:t>
      </w:r>
      <w:r w:rsidRPr="003F04E5">
        <w:rPr>
          <w:rFonts w:cs="StobiSerif Regular"/>
          <w:bCs/>
          <w:sz w:val="20"/>
          <w:szCs w:val="20"/>
          <w:lang w:eastAsia="x-none"/>
        </w:rPr>
        <w:t xml:space="preserve">станала расположлива за употреба и доколку е на локацијата и е во состојба неопходна за да биде оперативно способна на начин предвиден од страна на раководството. </w:t>
      </w:r>
      <w:r w:rsidRPr="003F04E5">
        <w:rPr>
          <w:rFonts w:cs="StobiSerif Regular"/>
          <w:bCs/>
          <w:sz w:val="20"/>
          <w:szCs w:val="20"/>
          <w:lang w:eastAsia="x-none"/>
        </w:rPr>
        <w:lastRenderedPageBreak/>
        <w:t>За даночни цели, електричната централа треба да се амортизира согласно одредбите на Уредбата цитирани погоре.</w:t>
      </w:r>
    </w:p>
    <w:p w14:paraId="193B1196" w14:textId="4356499A" w:rsidR="009157F7" w:rsidRPr="009776DE" w:rsidRDefault="009157F7" w:rsidP="009776DE"/>
    <w:sectPr w:rsidR="009157F7" w:rsidRPr="009776DE"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58514" w14:textId="77777777" w:rsidR="005E323B" w:rsidRPr="00C567EE" w:rsidRDefault="005E323B" w:rsidP="00805345">
      <w:r w:rsidRPr="00C567EE">
        <w:separator/>
      </w:r>
    </w:p>
  </w:endnote>
  <w:endnote w:type="continuationSeparator" w:id="0">
    <w:p w14:paraId="6356545B" w14:textId="77777777" w:rsidR="005E323B" w:rsidRPr="00C567EE" w:rsidRDefault="005E323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C5B0B" w14:textId="77777777" w:rsidR="005E323B" w:rsidRPr="00C567EE" w:rsidRDefault="005E323B" w:rsidP="00805345">
      <w:r w:rsidRPr="00C567EE">
        <w:separator/>
      </w:r>
    </w:p>
  </w:footnote>
  <w:footnote w:type="continuationSeparator" w:id="0">
    <w:p w14:paraId="59C56CE2" w14:textId="77777777" w:rsidR="005E323B" w:rsidRPr="00C567EE" w:rsidRDefault="005E323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1"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5"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4"/>
  </w:num>
  <w:num w:numId="2" w16cid:durableId="1900096440">
    <w:abstractNumId w:val="20"/>
  </w:num>
  <w:num w:numId="3" w16cid:durableId="16003343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7"/>
  </w:num>
  <w:num w:numId="8" w16cid:durableId="621112521">
    <w:abstractNumId w:val="5"/>
  </w:num>
  <w:num w:numId="9" w16cid:durableId="1622804002">
    <w:abstractNumId w:val="25"/>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2"/>
  </w:num>
  <w:num w:numId="12" w16cid:durableId="870530504">
    <w:abstractNumId w:val="22"/>
  </w:num>
  <w:num w:numId="13" w16cid:durableId="714353434">
    <w:abstractNumId w:val="11"/>
  </w:num>
  <w:num w:numId="14" w16cid:durableId="1341006038">
    <w:abstractNumId w:val="9"/>
  </w:num>
  <w:num w:numId="15" w16cid:durableId="788474779">
    <w:abstractNumId w:val="1"/>
  </w:num>
  <w:num w:numId="16" w16cid:durableId="639068706">
    <w:abstractNumId w:val="19"/>
  </w:num>
  <w:num w:numId="17" w16cid:durableId="479928752">
    <w:abstractNumId w:val="0"/>
  </w:num>
  <w:num w:numId="18" w16cid:durableId="2018384905">
    <w:abstractNumId w:val="18"/>
  </w:num>
  <w:num w:numId="19" w16cid:durableId="2136213879">
    <w:abstractNumId w:val="2"/>
  </w:num>
  <w:num w:numId="20" w16cid:durableId="694765918">
    <w:abstractNumId w:val="21"/>
  </w:num>
  <w:num w:numId="21" w16cid:durableId="6989419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5"/>
  </w:num>
  <w:num w:numId="24" w16cid:durableId="1315838814">
    <w:abstractNumId w:val="6"/>
  </w:num>
  <w:num w:numId="25" w16cid:durableId="818617000">
    <w:abstractNumId w:val="23"/>
  </w:num>
  <w:num w:numId="26" w16cid:durableId="1199777193">
    <w:abstractNumId w:val="26"/>
  </w:num>
  <w:num w:numId="27" w16cid:durableId="444814318">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323B"/>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1125</Words>
  <Characters>6414</Characters>
  <Application>Microsoft Office Word</Application>
  <DocSecurity>0</DocSecurity>
  <Lines>53</Lines>
  <Paragraphs>15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7524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2025-10-22T10:35:00Z</dcterms:created>
  <dcterms:modified xsi:type="dcterms:W3CDTF">2025-10-22T10:35:00Z</dcterms:modified>
</cp:coreProperties>
</file>