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B8AE8" w14:textId="77777777" w:rsidR="00A01022" w:rsidRDefault="00A01022" w:rsidP="00A01022">
      <w:pPr>
        <w:jc w:val="both"/>
        <w:rPr>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27</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.2024:</w:t>
      </w:r>
      <w:r w:rsidRPr="00FD5302">
        <w:rPr>
          <w:sz w:val="20"/>
          <w:szCs w:val="20"/>
          <w:lang w:val="ru-RU"/>
        </w:rPr>
        <w:t xml:space="preserve"> </w:t>
      </w:r>
    </w:p>
    <w:p w14:paraId="17DCAD77" w14:textId="77777777" w:rsidR="00A01022" w:rsidRDefault="00A01022" w:rsidP="00A01022">
      <w:pPr>
        <w:jc w:val="both"/>
        <w:rPr>
          <w:sz w:val="20"/>
          <w:szCs w:val="20"/>
          <w:lang w:val="ru-RU"/>
        </w:rPr>
      </w:pPr>
    </w:p>
    <w:p w14:paraId="07F77724" w14:textId="77777777" w:rsidR="00A01022" w:rsidRPr="00AC42C9" w:rsidRDefault="00A01022" w:rsidP="00A01022">
      <w:pPr>
        <w:jc w:val="both"/>
        <w:rPr>
          <w:sz w:val="20"/>
          <w:szCs w:val="20"/>
          <w:lang w:val="ru-RU"/>
        </w:rPr>
      </w:pPr>
      <w:r w:rsidRPr="00AC42C9">
        <w:rPr>
          <w:sz w:val="20"/>
          <w:szCs w:val="20"/>
          <w:lang w:val="ru-RU"/>
        </w:rPr>
        <w:t>Почитувани,</w:t>
      </w:r>
    </w:p>
    <w:p w14:paraId="3BA24970" w14:textId="77777777" w:rsidR="00A01022" w:rsidRPr="00AC42C9" w:rsidRDefault="00A01022" w:rsidP="00A01022">
      <w:pPr>
        <w:ind w:firstLine="720"/>
        <w:jc w:val="both"/>
        <w:rPr>
          <w:sz w:val="20"/>
          <w:szCs w:val="20"/>
          <w:lang w:val="ru-RU"/>
        </w:rPr>
      </w:pPr>
    </w:p>
    <w:p w14:paraId="5BE831B7" w14:textId="77777777" w:rsidR="00A01022" w:rsidRPr="00AC42C9" w:rsidRDefault="00A01022" w:rsidP="00A01022">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75C82620" w14:textId="77777777" w:rsidR="00A01022" w:rsidRDefault="00A01022" w:rsidP="00A01022">
      <w:pPr>
        <w:jc w:val="both"/>
        <w:rPr>
          <w:rFonts w:cs="StobiSerifRegular"/>
          <w:b/>
          <w:color w:val="auto"/>
          <w:sz w:val="20"/>
          <w:u w:val="single"/>
          <w:lang w:val="ru-RU"/>
        </w:rPr>
      </w:pPr>
    </w:p>
    <w:p w14:paraId="1A6B8201" w14:textId="77777777" w:rsidR="00A01022" w:rsidRDefault="00A01022" w:rsidP="00A01022">
      <w:pPr>
        <w:jc w:val="both"/>
        <w:rPr>
          <w:sz w:val="20"/>
          <w:szCs w:val="20"/>
          <w:lang w:val="ru-RU"/>
        </w:rPr>
      </w:pPr>
      <w:r>
        <w:rPr>
          <w:rFonts w:cs="StobiSerifRegular-Identity-H"/>
          <w:color w:val="auto"/>
          <w:sz w:val="20"/>
          <w:szCs w:val="20"/>
          <w:lang w:val="ru-RU"/>
        </w:rPr>
        <w:t xml:space="preserve">Согласно член 517 став 1 од Законот за трговски друштва (во понатамошниот текст ЗТД) објавен во „Сл.весник на РМ” бр.28/04...239/18 и „Сл.весник на РСМ” бр.290/20 и 215/21, eдно или повеќе друштва може да се присоединат (друштво што се присоединува) кон друго друштво (друштво што презема), со пренос на целокупниот имот и на обврските на друштвото коешто се присоединува без да се спроведе негова ликвидација, во замена за удели, односно за акции од друштво што презема.            </w:t>
      </w:r>
    </w:p>
    <w:p w14:paraId="296714E4" w14:textId="77777777" w:rsidR="00A01022" w:rsidRPr="00FD5302" w:rsidRDefault="00A01022" w:rsidP="00A01022">
      <w:pPr>
        <w:jc w:val="both"/>
        <w:rPr>
          <w:sz w:val="20"/>
          <w:szCs w:val="20"/>
          <w:lang w:val="ru-RU"/>
        </w:rPr>
      </w:pPr>
      <w:r>
        <w:rPr>
          <w:rFonts w:eastAsia="Times New Roman"/>
          <w:color w:val="auto"/>
          <w:sz w:val="20"/>
          <w:szCs w:val="20"/>
          <w:lang w:val="ru-RU"/>
        </w:rPr>
        <w:t xml:space="preserve">Согласно член 28 од </w:t>
      </w:r>
      <w:r>
        <w:rPr>
          <w:sz w:val="20"/>
        </w:rPr>
        <w:t>Законот за данокот на добивка (во натамошен текст:ЗДД) објавен во „Сл.весник на РМ“, бр.112/14...248/18 и „Сл.весник на РСМ“, бр.232/19...1</w:t>
      </w:r>
      <w:r>
        <w:rPr>
          <w:sz w:val="20"/>
          <w:lang w:val="ru-RU"/>
        </w:rPr>
        <w:t>99</w:t>
      </w:r>
      <w:r>
        <w:rPr>
          <w:sz w:val="20"/>
        </w:rPr>
        <w:t>/2</w:t>
      </w:r>
      <w:r>
        <w:rPr>
          <w:sz w:val="20"/>
          <w:lang w:val="ru-RU"/>
        </w:rPr>
        <w:t>3</w:t>
      </w:r>
      <w:r>
        <w:rPr>
          <w:sz w:val="20"/>
        </w:rPr>
        <w:t>, д</w:t>
      </w:r>
      <w:r>
        <w:rPr>
          <w:rFonts w:cs="StobiSerifRegular-Identity-H"/>
          <w:color w:val="auto"/>
          <w:sz w:val="20"/>
          <w:szCs w:val="20"/>
          <w:lang w:val="ru-RU"/>
        </w:rPr>
        <w:t>аночната основа се намалува за износот на извршените вложувања од добивката од претходната година (реинвестирана добивка).</w:t>
      </w:r>
    </w:p>
    <w:p w14:paraId="72992EF7" w14:textId="77777777" w:rsidR="00A01022" w:rsidRDefault="00A01022" w:rsidP="00A01022">
      <w:pPr>
        <w:autoSpaceDE w:val="0"/>
        <w:autoSpaceDN w:val="0"/>
        <w:adjustRightInd w:val="0"/>
        <w:jc w:val="both"/>
        <w:rPr>
          <w:rFonts w:cs="StobiSerifRegular-Identity-H"/>
          <w:color w:val="auto"/>
          <w:sz w:val="20"/>
          <w:szCs w:val="20"/>
          <w:lang w:val="ru-RU"/>
        </w:rPr>
      </w:pPr>
      <w:r>
        <w:rPr>
          <w:rFonts w:cs="StobiSerifRegular-Identity-H"/>
          <w:color w:val="auto"/>
          <w:sz w:val="20"/>
          <w:szCs w:val="20"/>
          <w:lang w:val="ru-RU"/>
        </w:rPr>
        <w:t>Под реинвестирана добивка од ставот (1) на овој член се подразбираат извршените инвестициски вложувања од добивката за развојни цели, односно вложувањата во материјални средства (недвижности, постројки и опрема), вклучително и вложувањата во материјални средства набавени преку финансиски лизинг, како и во нематеријални средства (компјутерски софтвер и патенти) за проширување на дејноста на даночниот обврзник, освен вложувања во патнички автомобили, мебел, теписи, аудио визуелни средства, бела техника, уметнички дела од ликовната и применетата уметност и други вложувања кои служат за административни цели.</w:t>
      </w:r>
    </w:p>
    <w:p w14:paraId="79ABA626" w14:textId="77777777" w:rsidR="00A01022" w:rsidRDefault="00A01022" w:rsidP="00A01022">
      <w:pPr>
        <w:autoSpaceDE w:val="0"/>
        <w:autoSpaceDN w:val="0"/>
        <w:adjustRightInd w:val="0"/>
        <w:jc w:val="both"/>
        <w:rPr>
          <w:rFonts w:cs="StobiSerifRegular-Identity-H"/>
          <w:color w:val="auto"/>
          <w:sz w:val="20"/>
          <w:szCs w:val="20"/>
          <w:u w:val="single"/>
          <w:lang w:val="ru-RU"/>
        </w:rPr>
      </w:pPr>
      <w:r>
        <w:rPr>
          <w:rFonts w:cs="StobiSerifRegular-Identity-H"/>
          <w:color w:val="auto"/>
          <w:sz w:val="20"/>
          <w:szCs w:val="20"/>
          <w:u w:val="single"/>
          <w:lang w:val="ru-RU"/>
        </w:rPr>
        <w:t>Доколку даночниот обврзник ги отуѓи средствата со кои се стекнал преку реинвестирање на добивката во рок од пет години од денот во кој е извршено инвестициското вложување, го должи данокот кој би го платил кога не би го користел ослободувањето од ставот (1) на овој член.</w:t>
      </w:r>
    </w:p>
    <w:p w14:paraId="4911F9B6" w14:textId="77777777" w:rsidR="00A01022" w:rsidRDefault="00A01022" w:rsidP="00A01022">
      <w:pPr>
        <w:autoSpaceDE w:val="0"/>
        <w:autoSpaceDN w:val="0"/>
        <w:adjustRightInd w:val="0"/>
        <w:jc w:val="both"/>
        <w:rPr>
          <w:rFonts w:cs="StobiSerifRegular-Identity-H"/>
          <w:color w:val="auto"/>
          <w:sz w:val="20"/>
          <w:szCs w:val="20"/>
          <w:lang w:val="ru-RU"/>
        </w:rPr>
      </w:pPr>
      <w:r>
        <w:rPr>
          <w:rFonts w:cs="StobiSerifRegular-Identity-H"/>
          <w:color w:val="auto"/>
          <w:sz w:val="20"/>
          <w:szCs w:val="20"/>
          <w:lang w:val="ru-RU"/>
        </w:rPr>
        <w:t>Во случај на раскинување на договорот за финансиски лизинг, даночниот обврзник го должи данокоткој би го платил кога не би го користелослободувањето од ставот (1) на овој член.</w:t>
      </w:r>
    </w:p>
    <w:p w14:paraId="51A5A956" w14:textId="77777777" w:rsidR="00A01022" w:rsidRDefault="00A01022" w:rsidP="00A01022">
      <w:pPr>
        <w:jc w:val="both"/>
        <w:rPr>
          <w:rFonts w:cs="StobiSerifRegular-Identity-H"/>
          <w:color w:val="auto"/>
          <w:sz w:val="20"/>
          <w:szCs w:val="20"/>
          <w:lang w:val="ru-RU"/>
        </w:rPr>
      </w:pPr>
      <w:r>
        <w:rPr>
          <w:rFonts w:cs="StobiSerifRegular-Identity-H"/>
          <w:color w:val="auto"/>
          <w:sz w:val="20"/>
          <w:szCs w:val="20"/>
          <w:lang w:val="ru-RU"/>
        </w:rPr>
        <w:t xml:space="preserve">Доколку даночниот обврзник документирано не докаже дека даночното ослободување го искористил за вложувања во материјални средства (недвижности, постројки и опрема) и во нематеријални средства (компјутерски софтвер и патенти) за проширување на дејноста го должи во петкратен износ данокот кој би го платил кога не би го користел ослободувањето од ставот (1) на овој член. </w:t>
      </w:r>
    </w:p>
    <w:p w14:paraId="5B5E297F" w14:textId="77777777" w:rsidR="00A01022" w:rsidRDefault="00A01022" w:rsidP="00A01022">
      <w:pPr>
        <w:jc w:val="both"/>
        <w:rPr>
          <w:rFonts w:cs="StobiSerifRegular-Identity-H"/>
          <w:color w:val="auto"/>
          <w:sz w:val="20"/>
          <w:szCs w:val="20"/>
          <w:lang w:val="ru-RU"/>
        </w:rPr>
      </w:pPr>
      <w:r>
        <w:rPr>
          <w:rFonts w:cs="StobiSerifRegular-Identity-H"/>
          <w:color w:val="auto"/>
          <w:sz w:val="20"/>
          <w:szCs w:val="20"/>
          <w:lang w:val="ru-RU"/>
        </w:rPr>
        <w:t>Доколку даночниот обврзник не го утврди и плати данокот согласно со членот 39 став (2) од овој закон го должи во петкратен износ данокот кој би го платил кога не би го користел ослободувањето од ставот (1) на овој член.</w:t>
      </w:r>
    </w:p>
    <w:p w14:paraId="466AE47F" w14:textId="77777777" w:rsidR="00A01022" w:rsidRDefault="00A01022" w:rsidP="00A01022">
      <w:pPr>
        <w:jc w:val="both"/>
        <w:rPr>
          <w:rFonts w:cs="StobiSerifRegular-Identity-H"/>
          <w:color w:val="auto"/>
          <w:sz w:val="20"/>
          <w:szCs w:val="20"/>
          <w:lang w:val="ru-RU"/>
        </w:rPr>
      </w:pPr>
      <w:r>
        <w:rPr>
          <w:rFonts w:cs="StobiSerifRegular-Identity-H"/>
          <w:color w:val="auto"/>
          <w:sz w:val="20"/>
          <w:szCs w:val="20"/>
          <w:lang w:val="ru-RU"/>
        </w:rPr>
        <w:t>Според член 39 став 2 од ЗДД, при престанување на условите за даночно ослободување од членот 28 ставови (3) и (4) од овој закон, данокот на добивка се утврдува и плаќа врз основа на образец „ДД-ДО“, кој се доставува до Управата за јавни приходи во рок 30 дена од денот на престанување на условите за даночно ослободување.</w:t>
      </w:r>
      <w:r>
        <w:rPr>
          <w:rFonts w:ascii="StobiSerifIt Regular" w:hAnsi="StobiSerifIt Regular" w:cs="Tahoma"/>
          <w:color w:val="FF0000"/>
          <w:sz w:val="20"/>
        </w:rPr>
        <w:t xml:space="preserve">    </w:t>
      </w:r>
    </w:p>
    <w:p w14:paraId="0DCCC38B" w14:textId="77777777" w:rsidR="00A01022" w:rsidRDefault="00A01022" w:rsidP="00A01022">
      <w:pPr>
        <w:jc w:val="both"/>
        <w:rPr>
          <w:rFonts w:cs="StobiSerifRegular-Identity-H"/>
          <w:color w:val="auto"/>
          <w:sz w:val="20"/>
          <w:szCs w:val="20"/>
          <w:lang w:val="ru-RU"/>
        </w:rPr>
      </w:pPr>
      <w:r>
        <w:rPr>
          <w:sz w:val="20"/>
        </w:rPr>
        <w:t>Според член 27 од ЗДД, даночните обврзници кај кои настанала статусна измена (поделба, спојување и присоединување) до Управата за јавни приходи доставуваат годишна сметка и даночна пријава за периодот од почетокот на годината до датумот на настанување на статусната промена во Централниот регистар на Република Северна Македонија, како и почетен биланс на состојба на новото друштво кое продолжува со вршење на дејност.</w:t>
      </w:r>
    </w:p>
    <w:p w14:paraId="03765217" w14:textId="77777777" w:rsidR="00A01022" w:rsidRDefault="00A01022" w:rsidP="00A01022">
      <w:pPr>
        <w:jc w:val="both"/>
        <w:rPr>
          <w:sz w:val="20"/>
        </w:rPr>
      </w:pPr>
      <w:r>
        <w:rPr>
          <w:sz w:val="20"/>
        </w:rPr>
        <w:t xml:space="preserve">Ако кај даночниот обврзник настане статусна измена се смета дека постои даночен континуитет доколку даночниот обврзник продолжува со дејноста кое нема влијание на оданочувањето Континуитетот во оданочувањето од ставот (2) на овој член постои само ако при преносот на друштвото </w:t>
      </w:r>
      <w:r>
        <w:rPr>
          <w:sz w:val="20"/>
        </w:rPr>
        <w:lastRenderedPageBreak/>
        <w:t xml:space="preserve">што превзема не дојде до промена во процената на вредноста на имотот и на обврските на друштвото што пренесува. </w:t>
      </w:r>
    </w:p>
    <w:p w14:paraId="6D37DE5F" w14:textId="77777777" w:rsidR="00A01022" w:rsidRDefault="00A01022" w:rsidP="00A01022">
      <w:pPr>
        <w:jc w:val="both"/>
        <w:rPr>
          <w:sz w:val="20"/>
        </w:rPr>
      </w:pPr>
      <w:r>
        <w:rPr>
          <w:sz w:val="20"/>
        </w:rPr>
        <w:t>Континуитет во оданочување не постои доколку со зголемувањето на проценетата вредност на имотот и обврските над сметководствената вредност, се зголеми основната главнина на друштвото што превзема, тогаш таквото зголемување се оданочува.</w:t>
      </w:r>
    </w:p>
    <w:p w14:paraId="135ACE30" w14:textId="77777777" w:rsidR="00A01022" w:rsidRPr="00FD5302" w:rsidRDefault="00A01022" w:rsidP="00A01022">
      <w:pPr>
        <w:jc w:val="both"/>
        <w:rPr>
          <w:sz w:val="20"/>
        </w:rPr>
      </w:pPr>
      <w:r>
        <w:rPr>
          <w:rFonts w:cs="TimesNewRomanPSMT"/>
          <w:color w:val="auto"/>
          <w:sz w:val="20"/>
        </w:rPr>
        <w:t>Според</w:t>
      </w:r>
      <w:r>
        <w:rPr>
          <w:rFonts w:ascii="StobiSerifIt Regular" w:hAnsi="StobiSerifIt Regular" w:cs="TimesNewRomanPSMT"/>
          <w:color w:val="auto"/>
          <w:sz w:val="20"/>
        </w:rPr>
        <w:t xml:space="preserve"> </w:t>
      </w:r>
      <w:r>
        <w:rPr>
          <w:rFonts w:cs="TimesNewRomanPSMT"/>
          <w:color w:val="auto"/>
          <w:sz w:val="20"/>
        </w:rPr>
        <w:t>изнесеното како и информациите наведени во Вашето прашање, на мислење сме дека при</w:t>
      </w:r>
      <w:r>
        <w:rPr>
          <w:rFonts w:ascii="StobiSerifIt Regular" w:hAnsi="StobiSerifIt Regular" w:cs="TimesNewRomanPSMT"/>
          <w:color w:val="auto"/>
          <w:sz w:val="20"/>
        </w:rPr>
        <w:t xml:space="preserve">  </w:t>
      </w:r>
      <w:r>
        <w:rPr>
          <w:rFonts w:cs="TimesNewRomanPSMT"/>
          <w:color w:val="auto"/>
          <w:sz w:val="20"/>
        </w:rPr>
        <w:t>пренос</w:t>
      </w:r>
      <w:r>
        <w:rPr>
          <w:rFonts w:ascii="StobiSerifIt Regular" w:hAnsi="StobiSerifIt Regular" w:cs="TimesNewRomanPSMT"/>
          <w:color w:val="auto"/>
          <w:sz w:val="20"/>
        </w:rPr>
        <w:t xml:space="preserve"> </w:t>
      </w:r>
      <w:r>
        <w:rPr>
          <w:rFonts w:cs="TimesNewRomanPSMT"/>
          <w:color w:val="auto"/>
          <w:sz w:val="20"/>
        </w:rPr>
        <w:t>на</w:t>
      </w:r>
      <w:r>
        <w:rPr>
          <w:rFonts w:ascii="StobiSerifIt Regular" w:hAnsi="StobiSerifIt Regular" w:cs="TimesNewRomanPSMT"/>
          <w:color w:val="auto"/>
          <w:sz w:val="20"/>
        </w:rPr>
        <w:t xml:space="preserve"> </w:t>
      </w:r>
      <w:r>
        <w:rPr>
          <w:rFonts w:cs="TimesNewRomanPSMT"/>
          <w:color w:val="auto"/>
          <w:sz w:val="20"/>
        </w:rPr>
        <w:t>право</w:t>
      </w:r>
      <w:r>
        <w:rPr>
          <w:rFonts w:ascii="StobiSerifIt Regular" w:hAnsi="StobiSerifIt Regular" w:cs="TimesNewRomanPSMT"/>
          <w:color w:val="auto"/>
          <w:sz w:val="20"/>
        </w:rPr>
        <w:t xml:space="preserve"> </w:t>
      </w:r>
      <w:r>
        <w:rPr>
          <w:rFonts w:cs="TimesNewRomanPSMT"/>
          <w:color w:val="auto"/>
          <w:sz w:val="20"/>
        </w:rPr>
        <w:t>на</w:t>
      </w:r>
      <w:r>
        <w:rPr>
          <w:rFonts w:ascii="StobiSerifIt Regular" w:hAnsi="StobiSerifIt Regular" w:cs="TimesNewRomanPSMT"/>
          <w:color w:val="auto"/>
          <w:sz w:val="20"/>
        </w:rPr>
        <w:t xml:space="preserve"> </w:t>
      </w:r>
      <w:r>
        <w:rPr>
          <w:rFonts w:cs="TimesNewRomanPSMT"/>
          <w:color w:val="auto"/>
          <w:sz w:val="20"/>
        </w:rPr>
        <w:t>сопственост</w:t>
      </w:r>
      <w:r>
        <w:rPr>
          <w:rFonts w:ascii="StobiSerifIt Regular" w:hAnsi="StobiSerifIt Regular" w:cs="TimesNewRomanPSMT"/>
          <w:color w:val="auto"/>
          <w:sz w:val="20"/>
        </w:rPr>
        <w:t xml:space="preserve"> </w:t>
      </w:r>
      <w:r>
        <w:rPr>
          <w:rFonts w:cs="TimesNewRomanPSMT"/>
          <w:color w:val="auto"/>
          <w:sz w:val="20"/>
        </w:rPr>
        <w:t>на</w:t>
      </w:r>
      <w:r>
        <w:rPr>
          <w:rFonts w:ascii="StobiSerifIt Regular" w:hAnsi="StobiSerifIt Regular" w:cs="TimesNewRomanPSMT"/>
          <w:color w:val="auto"/>
          <w:sz w:val="20"/>
        </w:rPr>
        <w:t xml:space="preserve"> </w:t>
      </w:r>
      <w:r>
        <w:rPr>
          <w:rFonts w:cs="TimesNewRomanPSMT"/>
          <w:color w:val="auto"/>
          <w:sz w:val="20"/>
        </w:rPr>
        <w:t>средствата</w:t>
      </w:r>
      <w:r>
        <w:rPr>
          <w:rFonts w:ascii="StobiSerifIt Regular" w:hAnsi="StobiSerifIt Regular" w:cs="TimesNewRomanPSMT"/>
          <w:color w:val="auto"/>
          <w:sz w:val="20"/>
        </w:rPr>
        <w:t xml:space="preserve">  </w:t>
      </w:r>
      <w:r>
        <w:rPr>
          <w:rFonts w:cs="TimesNewRomanPSMT"/>
          <w:color w:val="auto"/>
          <w:sz w:val="20"/>
        </w:rPr>
        <w:t>за</w:t>
      </w:r>
      <w:r>
        <w:rPr>
          <w:rFonts w:ascii="StobiSerifIt Regular" w:hAnsi="StobiSerifIt Regular" w:cs="TimesNewRomanPSMT"/>
          <w:color w:val="auto"/>
          <w:sz w:val="20"/>
        </w:rPr>
        <w:t xml:space="preserve"> </w:t>
      </w:r>
      <w:r>
        <w:rPr>
          <w:rFonts w:cs="TimesNewRomanPSMT"/>
          <w:color w:val="auto"/>
          <w:sz w:val="20"/>
        </w:rPr>
        <w:t>кои</w:t>
      </w:r>
      <w:r>
        <w:rPr>
          <w:rFonts w:ascii="StobiSerifIt Regular" w:hAnsi="StobiSerifIt Regular" w:cs="TimesNewRomanPSMT"/>
          <w:color w:val="auto"/>
          <w:sz w:val="20"/>
        </w:rPr>
        <w:t xml:space="preserve"> </w:t>
      </w:r>
      <w:r>
        <w:rPr>
          <w:rFonts w:cs="TimesNewRomanPSMT"/>
          <w:color w:val="auto"/>
          <w:sz w:val="20"/>
        </w:rPr>
        <w:t>е</w:t>
      </w:r>
      <w:r>
        <w:rPr>
          <w:rFonts w:ascii="StobiSerifIt Regular" w:hAnsi="StobiSerifIt Regular" w:cs="TimesNewRomanPSMT"/>
          <w:color w:val="auto"/>
          <w:sz w:val="20"/>
        </w:rPr>
        <w:t xml:space="preserve"> </w:t>
      </w:r>
      <w:r>
        <w:rPr>
          <w:rFonts w:cs="TimesNewRomanPSMT"/>
          <w:color w:val="auto"/>
          <w:sz w:val="20"/>
        </w:rPr>
        <w:t>користено</w:t>
      </w:r>
      <w:r>
        <w:rPr>
          <w:rFonts w:ascii="StobiSerifIt Regular" w:hAnsi="StobiSerifIt Regular" w:cs="TimesNewRomanPSMT"/>
          <w:color w:val="auto"/>
          <w:sz w:val="20"/>
        </w:rPr>
        <w:t xml:space="preserve"> </w:t>
      </w:r>
      <w:r>
        <w:rPr>
          <w:rFonts w:cs="TimesNewRomanPSMT"/>
          <w:color w:val="auto"/>
          <w:sz w:val="20"/>
        </w:rPr>
        <w:t>даночно</w:t>
      </w:r>
      <w:r>
        <w:rPr>
          <w:rFonts w:ascii="StobiSerifIt Regular" w:hAnsi="StobiSerifIt Regular" w:cs="TimesNewRomanPSMT"/>
          <w:color w:val="auto"/>
          <w:sz w:val="20"/>
        </w:rPr>
        <w:t xml:space="preserve"> </w:t>
      </w:r>
      <w:r>
        <w:rPr>
          <w:rFonts w:cs="TimesNewRomanPSMT"/>
          <w:color w:val="auto"/>
          <w:sz w:val="20"/>
        </w:rPr>
        <w:t>ослободување</w:t>
      </w:r>
      <w:r>
        <w:rPr>
          <w:rFonts w:ascii="StobiSerifIt Regular" w:hAnsi="StobiSerifIt Regular" w:cs="TimesNewRomanPSMT"/>
          <w:color w:val="auto"/>
          <w:sz w:val="20"/>
        </w:rPr>
        <w:t xml:space="preserve"> </w:t>
      </w:r>
      <w:r>
        <w:rPr>
          <w:rFonts w:cs="TimesNewRomanPSMT"/>
          <w:color w:val="auto"/>
          <w:sz w:val="20"/>
        </w:rPr>
        <w:t>од</w:t>
      </w:r>
      <w:r>
        <w:rPr>
          <w:rFonts w:ascii="StobiSerifIt Regular" w:hAnsi="StobiSerifIt Regular" w:cs="TimesNewRomanPSMT"/>
          <w:color w:val="auto"/>
          <w:sz w:val="20"/>
        </w:rPr>
        <w:t xml:space="preserve"> </w:t>
      </w:r>
      <w:r>
        <w:rPr>
          <w:rFonts w:cs="TimesNewRomanPSMT"/>
          <w:color w:val="auto"/>
          <w:sz w:val="20"/>
        </w:rPr>
        <w:t>член</w:t>
      </w:r>
      <w:r>
        <w:rPr>
          <w:rFonts w:ascii="StobiSerifIt Regular" w:hAnsi="StobiSerifIt Regular" w:cs="TimesNewRomanPSMT"/>
          <w:color w:val="auto"/>
          <w:sz w:val="20"/>
        </w:rPr>
        <w:t xml:space="preserve"> 28 </w:t>
      </w:r>
      <w:r>
        <w:rPr>
          <w:rFonts w:cs="TimesNewRomanPSMT"/>
          <w:color w:val="auto"/>
          <w:sz w:val="20"/>
        </w:rPr>
        <w:t>од</w:t>
      </w:r>
      <w:r>
        <w:rPr>
          <w:rFonts w:ascii="StobiSerifIt Regular" w:hAnsi="StobiSerifIt Regular" w:cs="TimesNewRomanPSMT"/>
          <w:color w:val="auto"/>
          <w:sz w:val="20"/>
        </w:rPr>
        <w:t xml:space="preserve"> </w:t>
      </w:r>
      <w:r>
        <w:rPr>
          <w:rFonts w:cs="TimesNewRomanPSMT"/>
          <w:color w:val="auto"/>
          <w:sz w:val="20"/>
        </w:rPr>
        <w:t>ЗДД</w:t>
      </w:r>
      <w:r>
        <w:rPr>
          <w:rFonts w:ascii="StobiSerifIt Regular" w:hAnsi="StobiSerifIt Regular" w:cs="TimesNewRomanPSMT"/>
          <w:color w:val="auto"/>
          <w:sz w:val="20"/>
        </w:rPr>
        <w:t xml:space="preserve"> (</w:t>
      </w:r>
      <w:r>
        <w:rPr>
          <w:rFonts w:cs="TimesNewRomanPSMT"/>
          <w:color w:val="auto"/>
          <w:sz w:val="20"/>
        </w:rPr>
        <w:t>во</w:t>
      </w:r>
      <w:r>
        <w:rPr>
          <w:rFonts w:ascii="StobiSerifIt Regular" w:hAnsi="StobiSerifIt Regular" w:cs="TimesNewRomanPSMT"/>
          <w:color w:val="auto"/>
          <w:sz w:val="20"/>
        </w:rPr>
        <w:t xml:space="preserve"> </w:t>
      </w:r>
      <w:r>
        <w:rPr>
          <w:rFonts w:cs="TimesNewRomanPSMT"/>
          <w:color w:val="auto"/>
          <w:sz w:val="20"/>
        </w:rPr>
        <w:t>рок</w:t>
      </w:r>
      <w:r>
        <w:rPr>
          <w:rFonts w:ascii="StobiSerifIt Regular" w:hAnsi="StobiSerifIt Regular" w:cs="TimesNewRomanPSMT"/>
          <w:color w:val="auto"/>
          <w:sz w:val="20"/>
        </w:rPr>
        <w:t xml:space="preserve"> </w:t>
      </w:r>
      <w:r>
        <w:rPr>
          <w:rFonts w:cs="TimesNewRomanPSMT"/>
          <w:color w:val="auto"/>
          <w:sz w:val="20"/>
        </w:rPr>
        <w:t>од</w:t>
      </w:r>
      <w:r>
        <w:rPr>
          <w:rFonts w:ascii="StobiSerifIt Regular" w:hAnsi="StobiSerifIt Regular" w:cs="TimesNewRomanPSMT"/>
          <w:color w:val="auto"/>
          <w:sz w:val="20"/>
        </w:rPr>
        <w:t xml:space="preserve"> </w:t>
      </w:r>
      <w:r>
        <w:rPr>
          <w:rFonts w:cs="TimesNewRomanPSMT"/>
          <w:color w:val="auto"/>
          <w:sz w:val="20"/>
        </w:rPr>
        <w:t>пет</w:t>
      </w:r>
      <w:r>
        <w:rPr>
          <w:rFonts w:ascii="StobiSerifIt Regular" w:hAnsi="StobiSerifIt Regular" w:cs="TimesNewRomanPSMT"/>
          <w:color w:val="auto"/>
          <w:sz w:val="20"/>
        </w:rPr>
        <w:t xml:space="preserve"> </w:t>
      </w:r>
      <w:r>
        <w:rPr>
          <w:rFonts w:cs="TimesNewRomanPSMT"/>
          <w:color w:val="auto"/>
          <w:sz w:val="20"/>
        </w:rPr>
        <w:t>години</w:t>
      </w:r>
      <w:r>
        <w:rPr>
          <w:rFonts w:ascii="StobiSerifIt Regular" w:hAnsi="StobiSerifIt Regular" w:cs="TimesNewRomanPSMT"/>
          <w:color w:val="auto"/>
          <w:sz w:val="20"/>
        </w:rPr>
        <w:t xml:space="preserve"> </w:t>
      </w:r>
      <w:r>
        <w:rPr>
          <w:rFonts w:cs="TimesNewRomanPSMT"/>
          <w:color w:val="auto"/>
          <w:sz w:val="20"/>
        </w:rPr>
        <w:t>од</w:t>
      </w:r>
      <w:r>
        <w:rPr>
          <w:rFonts w:ascii="StobiSerifIt Regular" w:hAnsi="StobiSerifIt Regular" w:cs="TimesNewRomanPSMT"/>
          <w:color w:val="auto"/>
          <w:sz w:val="20"/>
        </w:rPr>
        <w:t xml:space="preserve"> </w:t>
      </w:r>
      <w:r>
        <w:rPr>
          <w:rFonts w:cs="TimesNewRomanPSMT"/>
          <w:color w:val="auto"/>
          <w:sz w:val="20"/>
        </w:rPr>
        <w:t>денот</w:t>
      </w:r>
      <w:r>
        <w:rPr>
          <w:rFonts w:ascii="StobiSerifIt Regular" w:hAnsi="StobiSerifIt Regular" w:cs="TimesNewRomanPSMT"/>
          <w:color w:val="auto"/>
          <w:sz w:val="20"/>
        </w:rPr>
        <w:t xml:space="preserve"> </w:t>
      </w:r>
      <w:r>
        <w:rPr>
          <w:rFonts w:cs="TimesNewRomanPSMT"/>
          <w:color w:val="auto"/>
          <w:sz w:val="20"/>
        </w:rPr>
        <w:t>на</w:t>
      </w:r>
      <w:r>
        <w:rPr>
          <w:rFonts w:ascii="StobiSerifIt Regular" w:hAnsi="StobiSerifIt Regular" w:cs="TimesNewRomanPSMT"/>
          <w:color w:val="auto"/>
          <w:sz w:val="20"/>
        </w:rPr>
        <w:t xml:space="preserve"> </w:t>
      </w:r>
      <w:r>
        <w:rPr>
          <w:rFonts w:cs="TimesNewRomanPSMT"/>
          <w:color w:val="auto"/>
          <w:sz w:val="20"/>
        </w:rPr>
        <w:t>нивното</w:t>
      </w:r>
      <w:r>
        <w:rPr>
          <w:rFonts w:ascii="StobiSerifIt Regular" w:hAnsi="StobiSerifIt Regular" w:cs="TimesNewRomanPSMT"/>
          <w:color w:val="auto"/>
          <w:sz w:val="20"/>
        </w:rPr>
        <w:t xml:space="preserve"> </w:t>
      </w:r>
      <w:r>
        <w:rPr>
          <w:rFonts w:cs="TimesNewRomanPSMT"/>
          <w:color w:val="auto"/>
          <w:sz w:val="20"/>
        </w:rPr>
        <w:t>стекнување</w:t>
      </w:r>
      <w:r>
        <w:rPr>
          <w:rFonts w:ascii="StobiSerifIt Regular" w:hAnsi="StobiSerifIt Regular" w:cs="TimesNewRomanPSMT"/>
          <w:color w:val="auto"/>
          <w:sz w:val="20"/>
        </w:rPr>
        <w:t xml:space="preserve">), </w:t>
      </w:r>
      <w:r>
        <w:rPr>
          <w:rFonts w:cs="TimesNewRomanPSMT"/>
          <w:color w:val="auto"/>
          <w:sz w:val="20"/>
        </w:rPr>
        <w:t>при</w:t>
      </w:r>
      <w:r>
        <w:rPr>
          <w:rFonts w:ascii="StobiSerifIt Regular" w:hAnsi="StobiSerifIt Regular" w:cs="TimesNewRomanPSMT"/>
          <w:color w:val="auto"/>
          <w:sz w:val="20"/>
        </w:rPr>
        <w:t xml:space="preserve"> </w:t>
      </w:r>
      <w:r>
        <w:rPr>
          <w:rFonts w:cs="TimesNewRomanPSMT"/>
          <w:color w:val="auto"/>
          <w:sz w:val="20"/>
        </w:rPr>
        <w:t>статусна</w:t>
      </w:r>
      <w:r>
        <w:rPr>
          <w:rFonts w:ascii="StobiSerifIt Regular" w:hAnsi="StobiSerifIt Regular" w:cs="TimesNewRomanPSMT"/>
          <w:color w:val="auto"/>
          <w:sz w:val="20"/>
        </w:rPr>
        <w:t xml:space="preserve"> </w:t>
      </w:r>
      <w:r>
        <w:rPr>
          <w:rFonts w:cs="TimesNewRomanPSMT"/>
          <w:color w:val="auto"/>
          <w:sz w:val="20"/>
        </w:rPr>
        <w:t>промена (припојување</w:t>
      </w:r>
      <w:r>
        <w:rPr>
          <w:rFonts w:ascii="StobiSerifIt Regular" w:hAnsi="StobiSerifIt Regular" w:cs="TimesNewRomanPSMT"/>
          <w:color w:val="auto"/>
          <w:sz w:val="20"/>
        </w:rPr>
        <w:t xml:space="preserve">  </w:t>
      </w:r>
      <w:r>
        <w:rPr>
          <w:rFonts w:cs="TimesNewRomanPSMT"/>
          <w:color w:val="auto"/>
          <w:sz w:val="20"/>
        </w:rPr>
        <w:t>согласно член 517 од ЗТД) , даночниот</w:t>
      </w:r>
      <w:r>
        <w:rPr>
          <w:rFonts w:ascii="StobiSerifIt Regular" w:hAnsi="StobiSerifIt Regular" w:cs="TimesNewRomanPSMT"/>
          <w:color w:val="auto"/>
          <w:sz w:val="20"/>
        </w:rPr>
        <w:t xml:space="preserve"> </w:t>
      </w:r>
      <w:r>
        <w:rPr>
          <w:rFonts w:cs="TimesNewRomanPSMT"/>
          <w:color w:val="auto"/>
          <w:sz w:val="20"/>
        </w:rPr>
        <w:t>обврзник</w:t>
      </w:r>
      <w:r>
        <w:rPr>
          <w:rFonts w:ascii="StobiSerifIt Regular" w:hAnsi="StobiSerifIt Regular" w:cs="TimesNewRomanPSMT"/>
          <w:color w:val="auto"/>
          <w:sz w:val="20"/>
        </w:rPr>
        <w:t xml:space="preserve"> </w:t>
      </w:r>
      <w:r>
        <w:rPr>
          <w:rFonts w:cs="TimesNewRomanPSMT"/>
          <w:color w:val="auto"/>
          <w:sz w:val="20"/>
        </w:rPr>
        <w:t>го</w:t>
      </w:r>
      <w:r>
        <w:rPr>
          <w:rFonts w:ascii="StobiSerifIt Regular" w:hAnsi="StobiSerifIt Regular" w:cs="TimesNewRomanPSMT"/>
          <w:color w:val="auto"/>
          <w:sz w:val="20"/>
        </w:rPr>
        <w:t xml:space="preserve"> </w:t>
      </w:r>
      <w:r>
        <w:rPr>
          <w:rFonts w:cs="TimesNewRomanPSMT"/>
          <w:color w:val="auto"/>
          <w:sz w:val="20"/>
        </w:rPr>
        <w:t>должи</w:t>
      </w:r>
      <w:r>
        <w:rPr>
          <w:rFonts w:ascii="StobiSerifIt Regular" w:hAnsi="StobiSerifIt Regular" w:cs="TimesNewRomanPSMT"/>
          <w:color w:val="auto"/>
          <w:sz w:val="20"/>
        </w:rPr>
        <w:t xml:space="preserve"> </w:t>
      </w:r>
      <w:r>
        <w:rPr>
          <w:rFonts w:cs="TimesNewRomanPSMT"/>
          <w:color w:val="auto"/>
          <w:sz w:val="20"/>
        </w:rPr>
        <w:t>данокот</w:t>
      </w:r>
      <w:r>
        <w:rPr>
          <w:rFonts w:ascii="StobiSerifIt Regular" w:hAnsi="StobiSerifIt Regular" w:cs="TimesNewRomanPSMT"/>
          <w:color w:val="auto"/>
          <w:sz w:val="20"/>
        </w:rPr>
        <w:t xml:space="preserve"> </w:t>
      </w:r>
      <w:r>
        <w:rPr>
          <w:rFonts w:cs="TimesNewRomanPSMT"/>
          <w:color w:val="auto"/>
          <w:sz w:val="20"/>
        </w:rPr>
        <w:t>кој</w:t>
      </w:r>
      <w:r>
        <w:rPr>
          <w:rFonts w:ascii="StobiSerifIt Regular" w:hAnsi="StobiSerifIt Regular" w:cs="TimesNewRomanPSMT"/>
          <w:color w:val="auto"/>
          <w:sz w:val="20"/>
        </w:rPr>
        <w:t xml:space="preserve"> </w:t>
      </w:r>
      <w:r>
        <w:rPr>
          <w:rFonts w:cs="TimesNewRomanPSMT"/>
          <w:color w:val="auto"/>
          <w:sz w:val="20"/>
        </w:rPr>
        <w:t>би</w:t>
      </w:r>
      <w:r>
        <w:rPr>
          <w:rFonts w:ascii="StobiSerifIt Regular" w:hAnsi="StobiSerifIt Regular" w:cs="TimesNewRomanPSMT"/>
          <w:color w:val="auto"/>
          <w:sz w:val="20"/>
        </w:rPr>
        <w:t xml:space="preserve"> </w:t>
      </w:r>
      <w:r>
        <w:rPr>
          <w:rFonts w:cs="TimesNewRomanPSMT"/>
          <w:color w:val="auto"/>
          <w:sz w:val="20"/>
        </w:rPr>
        <w:t>го</w:t>
      </w:r>
      <w:r>
        <w:rPr>
          <w:rFonts w:ascii="StobiSerifIt Regular" w:hAnsi="StobiSerifIt Regular" w:cs="TimesNewRomanPSMT"/>
          <w:color w:val="auto"/>
          <w:sz w:val="20"/>
        </w:rPr>
        <w:t xml:space="preserve"> </w:t>
      </w:r>
      <w:r>
        <w:rPr>
          <w:rFonts w:cs="TimesNewRomanPSMT"/>
          <w:color w:val="auto"/>
          <w:sz w:val="20"/>
        </w:rPr>
        <w:t>платил</w:t>
      </w:r>
      <w:r>
        <w:rPr>
          <w:rFonts w:ascii="StobiSerifIt Regular" w:hAnsi="StobiSerifIt Regular" w:cs="TimesNewRomanPSMT"/>
          <w:color w:val="auto"/>
          <w:sz w:val="20"/>
        </w:rPr>
        <w:t xml:space="preserve"> </w:t>
      </w:r>
      <w:r>
        <w:rPr>
          <w:rFonts w:cs="TimesNewRomanPSMT"/>
          <w:color w:val="auto"/>
          <w:sz w:val="20"/>
        </w:rPr>
        <w:t>кога</w:t>
      </w:r>
      <w:r>
        <w:rPr>
          <w:rFonts w:ascii="StobiSerifIt Regular" w:hAnsi="StobiSerifIt Regular" w:cs="TimesNewRomanPSMT"/>
          <w:color w:val="auto"/>
          <w:sz w:val="20"/>
        </w:rPr>
        <w:t xml:space="preserve"> </w:t>
      </w:r>
      <w:r>
        <w:rPr>
          <w:rFonts w:cs="TimesNewRomanPSMT"/>
          <w:color w:val="auto"/>
          <w:sz w:val="20"/>
        </w:rPr>
        <w:t>не</w:t>
      </w:r>
      <w:r>
        <w:rPr>
          <w:rFonts w:ascii="StobiSerifIt Regular" w:hAnsi="StobiSerifIt Regular" w:cs="TimesNewRomanPSMT"/>
          <w:color w:val="auto"/>
          <w:sz w:val="20"/>
        </w:rPr>
        <w:t xml:space="preserve"> </w:t>
      </w:r>
      <w:r>
        <w:rPr>
          <w:rFonts w:cs="TimesNewRomanPSMT"/>
          <w:color w:val="auto"/>
          <w:sz w:val="20"/>
        </w:rPr>
        <w:t>би</w:t>
      </w:r>
      <w:r>
        <w:rPr>
          <w:rFonts w:ascii="StobiSerifIt Regular" w:hAnsi="StobiSerifIt Regular" w:cs="TimesNewRomanPSMT"/>
          <w:color w:val="auto"/>
          <w:sz w:val="20"/>
        </w:rPr>
        <w:t xml:space="preserve"> </w:t>
      </w:r>
      <w:r>
        <w:rPr>
          <w:rFonts w:cs="TimesNewRomanPSMT"/>
          <w:color w:val="auto"/>
          <w:sz w:val="20"/>
        </w:rPr>
        <w:t>го</w:t>
      </w:r>
      <w:r>
        <w:rPr>
          <w:rFonts w:ascii="StobiSerifIt Regular" w:hAnsi="StobiSerifIt Regular" w:cs="TimesNewRomanPSMT"/>
          <w:color w:val="auto"/>
          <w:sz w:val="20"/>
        </w:rPr>
        <w:t xml:space="preserve"> </w:t>
      </w:r>
      <w:r>
        <w:rPr>
          <w:rFonts w:cs="TimesNewRomanPSMT"/>
          <w:color w:val="auto"/>
          <w:sz w:val="20"/>
        </w:rPr>
        <w:t>користел</w:t>
      </w:r>
      <w:r>
        <w:rPr>
          <w:rFonts w:ascii="StobiSerifIt Regular" w:hAnsi="StobiSerifIt Regular" w:cs="TimesNewRomanPSMT"/>
          <w:color w:val="auto"/>
          <w:sz w:val="20"/>
        </w:rPr>
        <w:t xml:space="preserve"> </w:t>
      </w:r>
      <w:r>
        <w:rPr>
          <w:rFonts w:cs="TimesNewRomanPSMT"/>
          <w:color w:val="auto"/>
          <w:sz w:val="20"/>
        </w:rPr>
        <w:t>ослободувањето</w:t>
      </w:r>
      <w:r>
        <w:rPr>
          <w:rFonts w:ascii="StobiSerifIt Regular" w:hAnsi="StobiSerifIt Regular" w:cs="TimesNewRomanPSMT"/>
          <w:color w:val="auto"/>
          <w:sz w:val="20"/>
        </w:rPr>
        <w:t xml:space="preserve"> </w:t>
      </w:r>
      <w:r>
        <w:rPr>
          <w:rFonts w:cs="TimesNewRomanPSMT"/>
          <w:color w:val="auto"/>
          <w:sz w:val="20"/>
        </w:rPr>
        <w:t>од</w:t>
      </w:r>
      <w:r>
        <w:rPr>
          <w:rFonts w:ascii="StobiSerifIt Regular" w:hAnsi="StobiSerifIt Regular" w:cs="TimesNewRomanPSMT"/>
          <w:color w:val="auto"/>
          <w:sz w:val="20"/>
        </w:rPr>
        <w:t xml:space="preserve"> </w:t>
      </w:r>
      <w:r>
        <w:rPr>
          <w:rFonts w:cs="TimesNewRomanPSMT"/>
          <w:color w:val="auto"/>
          <w:sz w:val="20"/>
        </w:rPr>
        <w:t xml:space="preserve">член 28 од ЗДД </w:t>
      </w:r>
      <w:r>
        <w:rPr>
          <w:rFonts w:cs="StobiSerifRegular-Identity-H"/>
          <w:color w:val="auto"/>
          <w:sz w:val="20"/>
          <w:szCs w:val="20"/>
          <w:lang w:val="ru-RU"/>
        </w:rPr>
        <w:t>врз основа на образец „ДД-ДО“</w:t>
      </w:r>
      <w:r>
        <w:rPr>
          <w:rFonts w:ascii="StobiSerifIt Regular" w:hAnsi="StobiSerifIt Regular" w:cs="TimesNewRomanPSMT"/>
          <w:color w:val="auto"/>
          <w:sz w:val="20"/>
        </w:rPr>
        <w:t>.</w:t>
      </w:r>
    </w:p>
    <w:p w14:paraId="193B1196" w14:textId="70379566" w:rsidR="009157F7" w:rsidRPr="00A01022" w:rsidRDefault="009157F7" w:rsidP="00A01022"/>
    <w:sectPr w:rsidR="009157F7" w:rsidRPr="00A0102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35A52" w14:textId="77777777" w:rsidR="00F61CC1" w:rsidRPr="007A4A94" w:rsidRDefault="00F61CC1" w:rsidP="00805345">
      <w:r w:rsidRPr="007A4A94">
        <w:separator/>
      </w:r>
    </w:p>
  </w:endnote>
  <w:endnote w:type="continuationSeparator" w:id="0">
    <w:p w14:paraId="48F11A25" w14:textId="77777777" w:rsidR="00F61CC1" w:rsidRPr="007A4A94" w:rsidRDefault="00F61CC1"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StobiSerifRegular-Identity-H">
    <w:altName w:val="Calibri"/>
    <w:panose1 w:val="00000000000000000000"/>
    <w:charset w:val="CC"/>
    <w:family w:val="auto"/>
    <w:notTrueType/>
    <w:pitch w:val="default"/>
    <w:sig w:usb0="00000201" w:usb1="00000000" w:usb2="00000000" w:usb3="00000000" w:csb0="00000004" w:csb1="00000000"/>
  </w:font>
  <w:font w:name="StobiSerifIt Regular">
    <w:panose1 w:val="02000503060000090003"/>
    <w:charset w:val="00"/>
    <w:family w:val="modern"/>
    <w:notTrueType/>
    <w:pitch w:val="variable"/>
    <w:sig w:usb0="A00002AF" w:usb1="5000204B" w:usb2="00000000" w:usb3="00000000" w:csb0="0000009F" w:csb1="00000000"/>
  </w:font>
  <w:font w:name="TimesNewRomanPSMT">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DE1B4" w14:textId="77777777" w:rsidR="00F61CC1" w:rsidRPr="007A4A94" w:rsidRDefault="00F61CC1" w:rsidP="00805345">
      <w:r w:rsidRPr="007A4A94">
        <w:separator/>
      </w:r>
    </w:p>
  </w:footnote>
  <w:footnote w:type="continuationSeparator" w:id="0">
    <w:p w14:paraId="595F0287" w14:textId="77777777" w:rsidR="00F61CC1" w:rsidRPr="007A4A94" w:rsidRDefault="00F61CC1"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1CC1"/>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652</Words>
  <Characters>3720</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4364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2025-10-22T06:14:00Z</dcterms:created>
  <dcterms:modified xsi:type="dcterms:W3CDTF">2025-10-22T06:14:00Z</dcterms:modified>
</cp:coreProperties>
</file>