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E332A" w14:textId="77777777" w:rsidR="004D4107" w:rsidRPr="001C0455" w:rsidRDefault="004D4107" w:rsidP="004D4107">
      <w:pPr>
        <w:autoSpaceDE w:val="0"/>
        <w:autoSpaceDN w:val="0"/>
        <w:adjustRightInd w:val="0"/>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1</w:t>
      </w:r>
      <w:r w:rsidRPr="001C0455">
        <w:rPr>
          <w:rFonts w:eastAsia="Times New Roman"/>
          <w:b/>
          <w:bCs/>
          <w:color w:val="000000" w:themeColor="text1"/>
          <w:sz w:val="20"/>
          <w:szCs w:val="18"/>
          <w:lang w:val="ru-RU"/>
        </w:rPr>
        <w:t>7</w:t>
      </w:r>
      <w:r w:rsidRPr="00193161">
        <w:rPr>
          <w:rFonts w:eastAsia="Times New Roman"/>
          <w:b/>
          <w:bCs/>
          <w:color w:val="000000" w:themeColor="text1"/>
          <w:sz w:val="20"/>
          <w:szCs w:val="18"/>
          <w:lang w:val="ru-RU"/>
        </w:rPr>
        <w:t>.0</w:t>
      </w:r>
      <w:r w:rsidRPr="001C0455">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170D9984" w14:textId="77777777" w:rsidR="004D4107" w:rsidRPr="00565831" w:rsidRDefault="004D4107" w:rsidP="004D4107">
      <w:pPr>
        <w:jc w:val="both"/>
        <w:rPr>
          <w:sz w:val="20"/>
          <w:szCs w:val="20"/>
          <w:lang w:val="ru-RU"/>
        </w:rPr>
      </w:pPr>
    </w:p>
    <w:p w14:paraId="7FC72CD3" w14:textId="77777777" w:rsidR="004D4107" w:rsidRPr="00AC42C9" w:rsidRDefault="004D4107" w:rsidP="004D4107">
      <w:pPr>
        <w:jc w:val="both"/>
        <w:rPr>
          <w:sz w:val="20"/>
          <w:szCs w:val="20"/>
          <w:lang w:val="ru-RU"/>
        </w:rPr>
      </w:pPr>
      <w:r w:rsidRPr="00AC42C9">
        <w:rPr>
          <w:sz w:val="20"/>
          <w:szCs w:val="20"/>
          <w:lang w:val="ru-RU"/>
        </w:rPr>
        <w:t>Почитувани,</w:t>
      </w:r>
    </w:p>
    <w:p w14:paraId="170F8C9F" w14:textId="77777777" w:rsidR="004D4107" w:rsidRPr="00AC42C9" w:rsidRDefault="004D4107" w:rsidP="004D4107">
      <w:pPr>
        <w:ind w:firstLine="720"/>
        <w:jc w:val="both"/>
        <w:rPr>
          <w:sz w:val="20"/>
          <w:szCs w:val="20"/>
          <w:lang w:val="ru-RU"/>
        </w:rPr>
      </w:pPr>
    </w:p>
    <w:p w14:paraId="4A926DE1" w14:textId="77777777" w:rsidR="004D4107" w:rsidRPr="00AC42C9" w:rsidRDefault="004D4107" w:rsidP="004D4107">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E8E1A77" w14:textId="77777777" w:rsidR="004D4107" w:rsidRDefault="004D4107" w:rsidP="004D4107">
      <w:pPr>
        <w:jc w:val="both"/>
        <w:rPr>
          <w:rFonts w:cs="StobiSerifRegular"/>
          <w:b/>
          <w:color w:val="auto"/>
          <w:sz w:val="20"/>
          <w:u w:val="single"/>
          <w:lang w:val="ru-RU"/>
        </w:rPr>
      </w:pPr>
    </w:p>
    <w:p w14:paraId="5C9A3D3E" w14:textId="77777777" w:rsidR="004D4107" w:rsidRPr="00DB208A" w:rsidRDefault="004D4107" w:rsidP="004D4107">
      <w:pPr>
        <w:autoSpaceDE w:val="0"/>
        <w:autoSpaceDN w:val="0"/>
        <w:adjustRightInd w:val="0"/>
        <w:jc w:val="both"/>
        <w:rPr>
          <w:sz w:val="20"/>
          <w:szCs w:val="20"/>
        </w:rPr>
      </w:pPr>
      <w:r w:rsidRPr="00DB208A">
        <w:rPr>
          <w:sz w:val="20"/>
          <w:szCs w:val="20"/>
        </w:rPr>
        <w:t>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242C50A9" w14:textId="77777777" w:rsidR="004D4107" w:rsidRPr="00DB208A" w:rsidRDefault="004D4107" w:rsidP="004D4107">
      <w:pPr>
        <w:autoSpaceDE w:val="0"/>
        <w:autoSpaceDN w:val="0"/>
        <w:adjustRightInd w:val="0"/>
        <w:jc w:val="both"/>
        <w:rPr>
          <w:sz w:val="20"/>
          <w:szCs w:val="20"/>
        </w:rPr>
      </w:pPr>
      <w:r w:rsidRPr="00DB208A">
        <w:rPr>
          <w:sz w:val="20"/>
          <w:szCs w:val="20"/>
        </w:rPr>
        <w:t>Според член 9-а став 2 од ЗДД, трошоците за амортизација на материјалните и нематеријалните средства се признаваат како расход во даночниот биланс до износот пресметанна набавната вредност на средствата со примена на амортизационите стапки утврдени со Номенклатурата на средствата за амортизација. Одбраниот метод на амортизација се применува до конечна амортизација на поединечното средство или група средства (член 9-а став 3  од ЗДД). Владата на РС Македонија ја утврдува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(член 9-а став 6  од ЗДД).</w:t>
      </w:r>
    </w:p>
    <w:p w14:paraId="531F34C4" w14:textId="77777777" w:rsidR="004D4107" w:rsidRPr="00DB208A" w:rsidRDefault="004D4107" w:rsidP="004D4107">
      <w:pPr>
        <w:autoSpaceDE w:val="0"/>
        <w:autoSpaceDN w:val="0"/>
        <w:adjustRightInd w:val="0"/>
        <w:jc w:val="both"/>
        <w:rPr>
          <w:sz w:val="20"/>
          <w:szCs w:val="20"/>
        </w:rPr>
      </w:pPr>
      <w:r w:rsidRPr="00DB208A">
        <w:rPr>
          <w:sz w:val="20"/>
          <w:szCs w:val="20"/>
        </w:rPr>
        <w:t>Согласно член 4 став 2 алинеја 10 од Правилникот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РСМ, бр.174 /2014 ... 6/2020, (во натамошниот текст: ПДД), износот на амортизацијата на материјални и нематеријални средства која е повисока од амортизацијата пресметана на набавната вредност на средствата, се смета за оданочив расход.</w:t>
      </w:r>
    </w:p>
    <w:p w14:paraId="6F382714" w14:textId="77777777" w:rsidR="004D4107" w:rsidRPr="00DB208A" w:rsidRDefault="004D4107" w:rsidP="004D4107">
      <w:pPr>
        <w:autoSpaceDE w:val="0"/>
        <w:autoSpaceDN w:val="0"/>
        <w:adjustRightInd w:val="0"/>
        <w:jc w:val="both"/>
        <w:rPr>
          <w:sz w:val="20"/>
          <w:szCs w:val="20"/>
        </w:rPr>
      </w:pPr>
      <w:r w:rsidRPr="00DB208A">
        <w:rPr>
          <w:sz w:val="20"/>
          <w:szCs w:val="20"/>
        </w:rPr>
        <w:t>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средства подетално се уредени со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РСМ бр. 277/2019, (во натамошниот текст: Номенклатурата за амортизација на средствата).</w:t>
      </w:r>
    </w:p>
    <w:p w14:paraId="58402F56" w14:textId="77777777" w:rsidR="004D4107" w:rsidRPr="00DB208A" w:rsidRDefault="004D4107" w:rsidP="004D4107">
      <w:pPr>
        <w:autoSpaceDE w:val="0"/>
        <w:autoSpaceDN w:val="0"/>
        <w:adjustRightInd w:val="0"/>
        <w:jc w:val="both"/>
        <w:rPr>
          <w:sz w:val="20"/>
          <w:szCs w:val="20"/>
        </w:rPr>
      </w:pPr>
      <w:r w:rsidRPr="00DB208A">
        <w:rPr>
          <w:sz w:val="20"/>
          <w:szCs w:val="20"/>
        </w:rPr>
        <w:t>Под материјални средства, согласно член 2 од Номенклатурата за амортизација на средствата, се сметаат предметите чиј поединечен трошок на набавка е поголем од 500 евра во денарска противвредност и корисниот век на употреба е подолг од една година. Притоа, како материјални средства се сметаат градежните објекти, постројките и опремата, алатот, погонскиот и канцеларискиот инвентар, компјутерската опрема вклучувајќи ги и софтверите, мебелот, транспортните уреди и средства, биолошките средства (повеќегодишни насади и основни стада), со кои располага даночниот обврзник и кои служат за вршење на неговата дејност.</w:t>
      </w:r>
    </w:p>
    <w:p w14:paraId="3164E6DC" w14:textId="77777777" w:rsidR="004D4107" w:rsidRPr="00DB208A" w:rsidRDefault="004D4107" w:rsidP="004D4107">
      <w:pPr>
        <w:autoSpaceDE w:val="0"/>
        <w:autoSpaceDN w:val="0"/>
        <w:adjustRightInd w:val="0"/>
        <w:jc w:val="both"/>
        <w:rPr>
          <w:sz w:val="20"/>
          <w:szCs w:val="20"/>
        </w:rPr>
      </w:pPr>
      <w:r w:rsidRPr="00DB208A">
        <w:rPr>
          <w:sz w:val="20"/>
          <w:szCs w:val="20"/>
        </w:rPr>
        <w:t>Членот 4 од Номенклатурата за амортизација на средствата пропишува дека амортизацијата односно отписот на вредноста на средствата се врши со праволиниска метода со примена на годишните амортизациони стапки утврдени со оваа Номенклатура, кои за цели на оданочувањето може да се зголемат најмногу до 50%. Така пресметаната амортизација на средствата се признава како расход за даночни цели во даночниот биланс согласно со член 9-a став 2 од ЗДД.</w:t>
      </w:r>
    </w:p>
    <w:p w14:paraId="06F95FFD" w14:textId="77777777" w:rsidR="004D4107" w:rsidRPr="00DB208A" w:rsidRDefault="004D4107" w:rsidP="004D4107">
      <w:pPr>
        <w:autoSpaceDE w:val="0"/>
        <w:autoSpaceDN w:val="0"/>
        <w:adjustRightInd w:val="0"/>
        <w:jc w:val="both"/>
        <w:rPr>
          <w:sz w:val="20"/>
          <w:szCs w:val="20"/>
        </w:rPr>
      </w:pPr>
      <w:r w:rsidRPr="00DB208A">
        <w:rPr>
          <w:sz w:val="20"/>
          <w:szCs w:val="20"/>
        </w:rPr>
        <w:t>Трошокот по основ на амортизација на средствата се признава како расход во даночниот биланс од денот кога средството станало расположливо за употреба (член 7 од Номенклатурата за амортизација на средствата).</w:t>
      </w:r>
    </w:p>
    <w:p w14:paraId="27E42D20" w14:textId="77777777" w:rsidR="004D4107" w:rsidRPr="00DB208A" w:rsidRDefault="004D4107" w:rsidP="004D4107">
      <w:pPr>
        <w:autoSpaceDE w:val="0"/>
        <w:autoSpaceDN w:val="0"/>
        <w:adjustRightInd w:val="0"/>
        <w:jc w:val="both"/>
        <w:rPr>
          <w:sz w:val="20"/>
          <w:szCs w:val="20"/>
        </w:rPr>
      </w:pPr>
      <w:r w:rsidRPr="00DB208A">
        <w:rPr>
          <w:sz w:val="20"/>
          <w:szCs w:val="20"/>
        </w:rPr>
        <w:lastRenderedPageBreak/>
        <w:t>Основица за пресметување на амортизацијата претставува набавната вредност, односно ревалоризационата вредност на средствата, утврдена во согласност со усвоените меѓународни стандарди за финансиско известување и усвоените меѓународни стандарди за финансиско известување за мали и средни субјекти (член 5 став 1 од Номенклатурата за амортизација на средствата).</w:t>
      </w:r>
    </w:p>
    <w:p w14:paraId="77A3F1A6" w14:textId="77777777" w:rsidR="004D4107" w:rsidRPr="00DB208A" w:rsidRDefault="004D4107" w:rsidP="004D4107">
      <w:pPr>
        <w:autoSpaceDE w:val="0"/>
        <w:autoSpaceDN w:val="0"/>
        <w:adjustRightInd w:val="0"/>
        <w:jc w:val="both"/>
        <w:rPr>
          <w:sz w:val="20"/>
          <w:szCs w:val="20"/>
        </w:rPr>
      </w:pPr>
      <w:r w:rsidRPr="00DB208A">
        <w:rPr>
          <w:sz w:val="20"/>
          <w:szCs w:val="20"/>
        </w:rPr>
        <w:t>Набавната вредност на основните средства се утврдува во согласност со прифатените сметководствени стандарди и ја сочинува: куповната цена (фактурната вредност) зголемена за увозните давачки и даноците кои не се рефундираат при купувањето и сите други издатоци кои директно се припишуваат на подготвување на средството за неговата наменета употреба. Сите трговски попусти и рабати искажани во фактурната вредност се одбиваат при утврдување на набавната вредност (член 5 став 3 од Номенклатурата за амортизација на средствата).</w:t>
      </w:r>
    </w:p>
    <w:p w14:paraId="677A6304" w14:textId="77777777" w:rsidR="004D4107" w:rsidRPr="00DB208A" w:rsidRDefault="004D4107" w:rsidP="004D4107">
      <w:pPr>
        <w:autoSpaceDE w:val="0"/>
        <w:autoSpaceDN w:val="0"/>
        <w:adjustRightInd w:val="0"/>
        <w:jc w:val="both"/>
        <w:rPr>
          <w:sz w:val="20"/>
          <w:szCs w:val="20"/>
        </w:rPr>
      </w:pPr>
      <w:r w:rsidRPr="00DB208A">
        <w:rPr>
          <w:sz w:val="20"/>
          <w:szCs w:val="20"/>
        </w:rPr>
        <w:t>Основицата за пресметување на амортизација се корегира за последователните издатоциво согласност со сметководствените стандарди со кои се зголемува очекуваната корист на средството за даночниот обврзник, односно за вложувањата поради реконструкција, адаптација или други вложувања со кои се зголемува корисниот век на употреба, капацитетот, функционалната поврзаност и слично (член 5 став 4 од Номенклатурата за амортизација на средствата).</w:t>
      </w:r>
    </w:p>
    <w:p w14:paraId="5D357814" w14:textId="77777777" w:rsidR="004D4107" w:rsidRPr="00DB208A" w:rsidRDefault="004D4107" w:rsidP="004D4107">
      <w:pPr>
        <w:autoSpaceDE w:val="0"/>
        <w:autoSpaceDN w:val="0"/>
        <w:adjustRightInd w:val="0"/>
        <w:jc w:val="both"/>
        <w:rPr>
          <w:sz w:val="20"/>
          <w:szCs w:val="20"/>
        </w:rPr>
      </w:pPr>
      <w:r w:rsidRPr="00DB208A">
        <w:rPr>
          <w:sz w:val="20"/>
          <w:szCs w:val="20"/>
        </w:rPr>
        <w:t>Притоа, променетата вредноста на средството по основ на последователните издатоци претставува основица за натамошно пресметување на амортизацијата од денот кога издатоците настанале, односно кога се утврдени (член 5 став 5 од Номенклатурата за амортизација на средствата).</w:t>
      </w:r>
    </w:p>
    <w:p w14:paraId="674C791F" w14:textId="77777777" w:rsidR="004D4107" w:rsidRPr="00DB208A" w:rsidRDefault="004D4107" w:rsidP="004D4107">
      <w:pPr>
        <w:autoSpaceDE w:val="0"/>
        <w:autoSpaceDN w:val="0"/>
        <w:adjustRightInd w:val="0"/>
        <w:jc w:val="both"/>
        <w:rPr>
          <w:sz w:val="20"/>
          <w:szCs w:val="20"/>
        </w:rPr>
      </w:pPr>
      <w:r w:rsidRPr="00DB208A">
        <w:rPr>
          <w:sz w:val="20"/>
          <w:szCs w:val="20"/>
        </w:rPr>
        <w:t>Согласно член 6 на Номенклатурата за амортизација на средствата, амортизацијата се пресметува поединечно за секое средство во рамките на амортизационите групи пропишани со Номенклатурата за амортизација на средствата сé додека вредноста на средствата од член 5 став (1) и (4) на Номенклатурата не биде во целост надоместена. Кога ќе се надомести вредноста која претставува основица за пресметување на амортизација, односно кога износот на набавната вредност на средството е еднаков со износот на отпишаната вредност, престанува натамошното пресметување на амортизацијата. Тоа важи и ако средствата потоа се користат за вршење на дејноста.</w:t>
      </w:r>
    </w:p>
    <w:p w14:paraId="7BCF7CA4" w14:textId="77777777" w:rsidR="004D4107" w:rsidRPr="00565831" w:rsidRDefault="004D4107" w:rsidP="004D4107">
      <w:pPr>
        <w:autoSpaceDE w:val="0"/>
        <w:autoSpaceDN w:val="0"/>
        <w:adjustRightInd w:val="0"/>
        <w:jc w:val="both"/>
        <w:rPr>
          <w:sz w:val="20"/>
          <w:szCs w:val="20"/>
          <w:lang w:val="ru-RU"/>
        </w:rPr>
      </w:pPr>
      <w:r w:rsidRPr="00DB208A">
        <w:rPr>
          <w:sz w:val="20"/>
          <w:szCs w:val="20"/>
        </w:rPr>
        <w:t>Според член 9 од Номенклатурата за амортизација на средствата, ако даночниот обврзник за свои потреби ги отпишува средствата по методи и стапки кои се различни од утврдените со Номенклатурата и ако вкупно утврдениот износ на амортизација за даночниот период е помал од износот кој би се добил со примена на одредбите на Номенклатурата, така утврдениот износ претставува признат расход по основа на амортизација и за целите на одданочувањето.</w:t>
      </w:r>
    </w:p>
    <w:p w14:paraId="61ED8C5F" w14:textId="77777777" w:rsidR="004D4107" w:rsidRPr="00DB208A" w:rsidRDefault="004D4107" w:rsidP="004D4107">
      <w:pPr>
        <w:autoSpaceDE w:val="0"/>
        <w:autoSpaceDN w:val="0"/>
        <w:adjustRightInd w:val="0"/>
        <w:jc w:val="both"/>
        <w:rPr>
          <w:sz w:val="20"/>
          <w:szCs w:val="20"/>
        </w:rPr>
      </w:pPr>
      <w:r w:rsidRPr="00DB208A">
        <w:rPr>
          <w:sz w:val="20"/>
          <w:szCs w:val="20"/>
        </w:rPr>
        <w:t>Согласно горе наведеното, амортизацијата што се пресметува во периодот од 6-тата до 10-тата година се смета за признат расход на друштвото за цели на данокот на добивка според член 9 од Номенклатурата за амортизација на средствата.</w:t>
      </w:r>
    </w:p>
    <w:p w14:paraId="193B1196" w14:textId="70379566" w:rsidR="009157F7" w:rsidRPr="004D4107" w:rsidRDefault="009157F7" w:rsidP="004D4107"/>
    <w:sectPr w:rsidR="009157F7" w:rsidRPr="004D4107"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12FE2" w14:textId="77777777" w:rsidR="00054C33" w:rsidRPr="00C567EE" w:rsidRDefault="00054C33" w:rsidP="00805345">
      <w:r w:rsidRPr="00C567EE">
        <w:separator/>
      </w:r>
    </w:p>
  </w:endnote>
  <w:endnote w:type="continuationSeparator" w:id="0">
    <w:p w14:paraId="1F98FD41" w14:textId="77777777" w:rsidR="00054C33" w:rsidRPr="00C567EE" w:rsidRDefault="00054C3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305ED" w14:textId="77777777" w:rsidR="00054C33" w:rsidRPr="00C567EE" w:rsidRDefault="00054C33" w:rsidP="00805345">
      <w:r w:rsidRPr="00C567EE">
        <w:separator/>
      </w:r>
    </w:p>
  </w:footnote>
  <w:footnote w:type="continuationSeparator" w:id="0">
    <w:p w14:paraId="6F5F2694" w14:textId="77777777" w:rsidR="00054C33" w:rsidRPr="00C567EE" w:rsidRDefault="00054C3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3"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6"/>
  </w:num>
  <w:num w:numId="2" w16cid:durableId="1900096440">
    <w:abstractNumId w:val="14"/>
  </w:num>
  <w:num w:numId="3" w16cid:durableId="16003343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1"/>
  </w:num>
  <w:num w:numId="8" w16cid:durableId="621112521">
    <w:abstractNumId w:val="4"/>
  </w:num>
  <w:num w:numId="9" w16cid:durableId="1622804002">
    <w:abstractNumId w:val="17"/>
  </w:num>
  <w:num w:numId="10" w16cid:durableId="58113930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8"/>
  </w:num>
  <w:num w:numId="12" w16cid:durableId="870530504">
    <w:abstractNumId w:val="15"/>
  </w:num>
  <w:num w:numId="13" w16cid:durableId="714353434">
    <w:abstractNumId w:val="7"/>
  </w:num>
  <w:num w:numId="14" w16cid:durableId="1341006038">
    <w:abstractNumId w:val="5"/>
  </w:num>
  <w:num w:numId="15" w16cid:durableId="788474779">
    <w:abstractNumId w:val="1"/>
  </w:num>
  <w:num w:numId="16" w16cid:durableId="639068706">
    <w:abstractNumId w:val="13"/>
  </w:num>
  <w:num w:numId="17" w16cid:durableId="479928752">
    <w:abstractNumId w:val="0"/>
  </w:num>
  <w:num w:numId="18" w16cid:durableId="2018384905">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4C33"/>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986</Words>
  <Characters>5624</Characters>
  <Application>Microsoft Office Word</Application>
  <DocSecurity>0</DocSecurity>
  <Lines>46</Lines>
  <Paragraphs>13</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6597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2025-10-22T08:57:00Z</dcterms:created>
  <dcterms:modified xsi:type="dcterms:W3CDTF">2025-10-22T08:57:00Z</dcterms:modified>
</cp:coreProperties>
</file>