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854B8" w14:textId="77777777" w:rsidR="005B51CD" w:rsidRPr="001C0455" w:rsidRDefault="005B51CD" w:rsidP="005B51CD">
      <w:pPr>
        <w:shd w:val="clear" w:color="auto" w:fill="FFFFFF"/>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1C0455">
        <w:rPr>
          <w:rFonts w:eastAsia="Times New Roman"/>
          <w:b/>
          <w:bCs/>
          <w:color w:val="000000" w:themeColor="text1"/>
          <w:sz w:val="20"/>
          <w:szCs w:val="18"/>
          <w:lang w:val="ru-RU"/>
        </w:rPr>
        <w:t>06</w:t>
      </w:r>
      <w:r w:rsidRPr="00193161">
        <w:rPr>
          <w:rFonts w:eastAsia="Times New Roman"/>
          <w:b/>
          <w:bCs/>
          <w:color w:val="000000" w:themeColor="text1"/>
          <w:sz w:val="20"/>
          <w:szCs w:val="18"/>
          <w:lang w:val="ru-RU"/>
        </w:rPr>
        <w:t>.0</w:t>
      </w:r>
      <w:r w:rsidRPr="001C0455">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12C6F375" w14:textId="77777777" w:rsidR="005B51CD" w:rsidRPr="00AC42C9" w:rsidRDefault="005B51CD" w:rsidP="005B51CD">
      <w:pPr>
        <w:jc w:val="both"/>
        <w:rPr>
          <w:sz w:val="20"/>
          <w:szCs w:val="20"/>
          <w:lang w:val="ru-RU"/>
        </w:rPr>
      </w:pPr>
      <w:r w:rsidRPr="00AC42C9">
        <w:rPr>
          <w:sz w:val="20"/>
          <w:szCs w:val="20"/>
          <w:lang w:val="ru-RU"/>
        </w:rPr>
        <w:t>Почитувани,</w:t>
      </w:r>
    </w:p>
    <w:p w14:paraId="75769675" w14:textId="77777777" w:rsidR="005B51CD" w:rsidRPr="00AC42C9" w:rsidRDefault="005B51CD" w:rsidP="005B51CD">
      <w:pPr>
        <w:ind w:firstLine="720"/>
        <w:jc w:val="both"/>
        <w:rPr>
          <w:sz w:val="20"/>
          <w:szCs w:val="20"/>
          <w:lang w:val="ru-RU"/>
        </w:rPr>
      </w:pPr>
    </w:p>
    <w:p w14:paraId="6177073B" w14:textId="77777777" w:rsidR="005B51CD" w:rsidRPr="00AC42C9" w:rsidRDefault="005B51CD" w:rsidP="005B51CD">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2E5D3EAC" w14:textId="77777777" w:rsidR="005B51CD" w:rsidRDefault="005B51CD" w:rsidP="005B51CD">
      <w:pPr>
        <w:jc w:val="both"/>
        <w:rPr>
          <w:rFonts w:cs="StobiSerifRegular"/>
          <w:b/>
          <w:color w:val="auto"/>
          <w:sz w:val="20"/>
          <w:u w:val="single"/>
          <w:lang w:val="ru-RU"/>
        </w:rPr>
      </w:pPr>
    </w:p>
    <w:p w14:paraId="4A3A16F6" w14:textId="77777777" w:rsidR="005B51CD" w:rsidRPr="00FE3561" w:rsidRDefault="005B51CD" w:rsidP="005B51CD">
      <w:pPr>
        <w:shd w:val="clear" w:color="auto" w:fill="FFFFFF"/>
        <w:jc w:val="both"/>
        <w:rPr>
          <w:rFonts w:eastAsia="Times New Roman" w:cs="Times New Roman"/>
          <w:color w:val="1D2228"/>
          <w:sz w:val="20"/>
          <w:szCs w:val="20"/>
          <w:shd w:val="clear" w:color="auto" w:fill="FFFFFF"/>
          <w:lang w:val="ru-RU"/>
        </w:rPr>
      </w:pPr>
      <w:r w:rsidRPr="00FE3561">
        <w:rPr>
          <w:rFonts w:eastAsia="Times New Roman" w:cs="Times New Roman"/>
          <w:bCs/>
          <w:sz w:val="20"/>
          <w:szCs w:val="20"/>
          <w:lang w:val="ru-RU" w:eastAsia="x-none"/>
        </w:rPr>
        <w:t xml:space="preserve">Според член 7 од Законот за данок на добивка, објавен во Сл. весник на РСМ, бр.112/2014 … 199/2023, (во натамошниот текст: ЗДД), </w:t>
      </w:r>
      <w:r w:rsidRPr="00FE3561">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318FCA56" w14:textId="77777777" w:rsidR="005B51CD" w:rsidRPr="00FE3561" w:rsidRDefault="005B51CD" w:rsidP="005B51CD">
      <w:pPr>
        <w:autoSpaceDE w:val="0"/>
        <w:autoSpaceDN w:val="0"/>
        <w:adjustRightInd w:val="0"/>
        <w:jc w:val="both"/>
        <w:rPr>
          <w:sz w:val="20"/>
          <w:szCs w:val="20"/>
        </w:rPr>
      </w:pPr>
      <w:r w:rsidRPr="00FE3561">
        <w:rPr>
          <w:sz w:val="20"/>
          <w:szCs w:val="20"/>
          <w:lang w:val="en-US"/>
        </w:rPr>
        <w:t>K</w:t>
      </w:r>
      <w:r w:rsidRPr="00FE3561">
        <w:rPr>
          <w:sz w:val="20"/>
          <w:szCs w:val="20"/>
        </w:rPr>
        <w:t>ако непризнаени расходи за даночни цели</w:t>
      </w:r>
      <w:r w:rsidRPr="00FE3561">
        <w:rPr>
          <w:sz w:val="20"/>
          <w:szCs w:val="20"/>
          <w:lang w:val="ru-RU"/>
        </w:rPr>
        <w:t xml:space="preserve">, </w:t>
      </w:r>
      <w:r w:rsidRPr="00FE3561">
        <w:rPr>
          <w:sz w:val="20"/>
          <w:szCs w:val="20"/>
        </w:rPr>
        <w:t xml:space="preserve">согласно член 9 став 1 точка 7 од ЗДД, се сметаат скриените исплати на добивки како што се: давање на одредени производи и услуги на содружниците или акционерите или на нив поврзани лица по цена пониска од пазарната, вклучувајќи ја и пониската камата на одобрените заеми; плаќање за добиените производи и услуги од содружниците или акционерите или на нив поврзани лица, по цени повисоки од пазарните и овозможување на стекнување на добивки на содружниците или акционерите или на нив поврзани лица. Притоа, според член 16 од ЗДД, две лица се сметаат за поврзани кога: </w:t>
      </w:r>
    </w:p>
    <w:p w14:paraId="74521F74"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1) Едното од нив стекнало, непосредно или преку друг субјект, удел или акции кои во основната главнина на другото лице се претставени со најмалку 20% или кога му припаѓаат најмалку 20% од сите гласови на собирот на содружниците, односно на собранието; </w:t>
      </w:r>
    </w:p>
    <w:p w14:paraId="0D8D99A8"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2) Кое било трето лице, непосредно или преку друг субјект, стекнало удел или акции кои во основната главнина во секое од поврзаните лица се претставени со најмалку 20%, или кога на лицето му припаѓаат најмалку 20% од сите гласови на собирот на содружниците, односно на собранието, на секое од поврзаните</w:t>
      </w:r>
      <w:r w:rsidRPr="00FE3561">
        <w:rPr>
          <w:sz w:val="20"/>
          <w:szCs w:val="20"/>
          <w:lang w:val="ru-RU"/>
        </w:rPr>
        <w:t xml:space="preserve"> </w:t>
      </w:r>
      <w:r w:rsidRPr="00FE3561">
        <w:rPr>
          <w:sz w:val="20"/>
          <w:szCs w:val="20"/>
        </w:rPr>
        <w:t xml:space="preserve">лица; </w:t>
      </w:r>
    </w:p>
    <w:p w14:paraId="0C4C86E5"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3) Еден или повеќе извршни или неизвршни директори или членови на управниот или надзорниот одбор на едното лице, се извршни или неизвршни директори или членови на управниот или надзорниот одбор во другото лице; </w:t>
      </w:r>
    </w:p>
    <w:p w14:paraId="6EDFAFE4"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4) Заем доделен или гарантиран од едното лице сочинува повеќе од 20% од книговодствената вредност на вкупните средства на другото лице; </w:t>
      </w:r>
    </w:p>
    <w:p w14:paraId="166BC095"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5) Едното лице, непосредно или преку друг субјект, добива најмалку 20% од добивката на другото лице, како резултат на договор за деловна соработка помеѓу двете лица; </w:t>
      </w:r>
    </w:p>
    <w:p w14:paraId="3EC7C642"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6) Едното лице е постојана деловна единица на друго лице; </w:t>
      </w:r>
    </w:p>
    <w:p w14:paraId="110D9950" w14:textId="77777777" w:rsidR="005B51CD" w:rsidRPr="00FE3561" w:rsidRDefault="005B51CD" w:rsidP="005B51CD">
      <w:pPr>
        <w:autoSpaceDE w:val="0"/>
        <w:autoSpaceDN w:val="0"/>
        <w:adjustRightInd w:val="0"/>
        <w:ind w:firstLine="720"/>
        <w:jc w:val="both"/>
        <w:rPr>
          <w:sz w:val="20"/>
          <w:szCs w:val="20"/>
        </w:rPr>
      </w:pPr>
      <w:r w:rsidRPr="00FE3561">
        <w:rPr>
          <w:sz w:val="20"/>
          <w:szCs w:val="20"/>
        </w:rPr>
        <w:t xml:space="preserve">7) Едното лице врши деловни и финансиски трансакции со друго лице кое е резидент на држава во која стапката на данок на добивка е 25% пониска од стапката на данок на добивка во РС Македонија. </w:t>
      </w:r>
    </w:p>
    <w:p w14:paraId="51BF428A" w14:textId="77777777" w:rsidR="005B51CD" w:rsidRPr="00FE3561" w:rsidRDefault="005B51CD" w:rsidP="005B51CD">
      <w:pPr>
        <w:autoSpaceDE w:val="0"/>
        <w:autoSpaceDN w:val="0"/>
        <w:adjustRightInd w:val="0"/>
        <w:ind w:firstLine="720"/>
        <w:jc w:val="both"/>
        <w:rPr>
          <w:rFonts w:eastAsia="Times New Roman"/>
          <w:color w:val="auto"/>
          <w:sz w:val="20"/>
          <w:szCs w:val="20"/>
        </w:rPr>
      </w:pPr>
      <w:r w:rsidRPr="00FE3561">
        <w:rPr>
          <w:sz w:val="20"/>
          <w:szCs w:val="20"/>
        </w:rPr>
        <w:t>За цели на одредбите од овој член наведени погоре, уделот, акциите или гласачките права на физичкото лице се сметаат заедно со истите на брачниот другар, роднините по права линија, браќата, сестрите, хранителите и посвоителите.</w:t>
      </w:r>
    </w:p>
    <w:p w14:paraId="316895FB" w14:textId="77777777" w:rsidR="005B51CD" w:rsidRPr="00FE3561" w:rsidRDefault="005B51CD" w:rsidP="005B51CD">
      <w:pPr>
        <w:jc w:val="both"/>
        <w:rPr>
          <w:rFonts w:cs="StobiSerifRegular"/>
          <w:color w:val="auto"/>
          <w:sz w:val="20"/>
          <w:szCs w:val="20"/>
        </w:rPr>
      </w:pPr>
      <w:r w:rsidRPr="00FE3561">
        <w:rPr>
          <w:rFonts w:cs="StobiSerifRegular"/>
          <w:color w:val="auto"/>
          <w:sz w:val="20"/>
          <w:szCs w:val="20"/>
        </w:rPr>
        <w:t xml:space="preserve">Согласно член 9  став 1 точка 18 од ЗД, непризнаени расходи за даночни цели се трошоците за нето износот на примањата по основ на деловна успешност над износот на кој се пресметани придонеси согласно со закон. </w:t>
      </w:r>
    </w:p>
    <w:p w14:paraId="144E7C9A" w14:textId="77777777" w:rsidR="005B51CD" w:rsidRPr="00FE3561" w:rsidRDefault="005B51CD" w:rsidP="005B51CD">
      <w:pPr>
        <w:shd w:val="clear" w:color="auto" w:fill="FFFFFF"/>
        <w:jc w:val="both"/>
        <w:rPr>
          <w:sz w:val="20"/>
          <w:szCs w:val="20"/>
        </w:rPr>
      </w:pPr>
      <w:r w:rsidRPr="00FE3561">
        <w:rPr>
          <w:sz w:val="20"/>
          <w:szCs w:val="20"/>
        </w:rPr>
        <w:t>Согласно член 12 од Законот за даночната постапка, објавен во Сл. весник на РМ бр. 13/06 ... 247/22, (во натамошниот текст: ЗДП), ако со привидна правна работа се прикрива некоја друга правна работа, во тој случај основата за утврдување на даночната обврска ја чини прикриената правна работа. Дополнително, согласно член 50 став 5 од ЗДП, Управата за јавни приходи го задржува правото, по службена должност, да ја утврди фактичката состојба.</w:t>
      </w:r>
    </w:p>
    <w:p w14:paraId="220EDF30" w14:textId="77777777" w:rsidR="005B51CD" w:rsidRPr="00FE3561" w:rsidRDefault="005B51CD" w:rsidP="005B51CD">
      <w:pPr>
        <w:jc w:val="both"/>
        <w:rPr>
          <w:sz w:val="20"/>
          <w:szCs w:val="20"/>
        </w:rPr>
      </w:pPr>
      <w:r w:rsidRPr="00FE3561">
        <w:rPr>
          <w:sz w:val="20"/>
          <w:szCs w:val="20"/>
        </w:rPr>
        <w:lastRenderedPageBreak/>
        <w:t>Во Службен весник на РСМ број 75 од 3 април 2024 година објавен е Правилникот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и согласно член 4 од истиот,</w:t>
      </w:r>
      <w:r w:rsidRPr="00FE3561">
        <w:rPr>
          <w:sz w:val="20"/>
          <w:szCs w:val="20"/>
          <w:lang w:val="ru-RU"/>
        </w:rPr>
        <w:t xml:space="preserve"> </w:t>
      </w:r>
      <w:r w:rsidRPr="00FE3561">
        <w:rPr>
          <w:sz w:val="20"/>
          <w:szCs w:val="20"/>
        </w:rPr>
        <w:t>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2F94F39A" w14:textId="77777777" w:rsidR="005B51CD" w:rsidRPr="00FE3561" w:rsidRDefault="005B51CD" w:rsidP="005B51CD">
      <w:pPr>
        <w:shd w:val="clear" w:color="auto" w:fill="FFFFFF"/>
        <w:jc w:val="both"/>
        <w:rPr>
          <w:rFonts w:eastAsia="Times New Roman"/>
          <w:color w:val="auto"/>
          <w:sz w:val="20"/>
          <w:szCs w:val="20"/>
        </w:rPr>
      </w:pPr>
      <w:r w:rsidRPr="00FE3561">
        <w:rPr>
          <w:sz w:val="20"/>
          <w:szCs w:val="20"/>
        </w:rPr>
        <w:t xml:space="preserve">Сметководственото евидентирање на придобивките, односно користите за вработените е регулирано со МСС 19 – Придобивки за вработените, односно со Оддел 28 – Користи за вработени од МСФИ за мали и средни субјекти, кои се составен дел на Правилникот. </w:t>
      </w:r>
      <w:r w:rsidRPr="00FE3561">
        <w:rPr>
          <w:rFonts w:eastAsia="Times New Roman"/>
          <w:sz w:val="20"/>
          <w:szCs w:val="20"/>
        </w:rPr>
        <w:t xml:space="preserve">Според </w:t>
      </w:r>
      <w:r w:rsidRPr="00FE3561">
        <w:rPr>
          <w:rFonts w:eastAsia="Times New Roman"/>
          <w:sz w:val="20"/>
          <w:szCs w:val="20"/>
          <w:lang w:val="ru-RU"/>
        </w:rPr>
        <w:t xml:space="preserve">точка </w:t>
      </w:r>
      <w:r w:rsidRPr="00FE3561">
        <w:rPr>
          <w:rFonts w:eastAsia="Times New Roman"/>
          <w:sz w:val="20"/>
          <w:szCs w:val="20"/>
        </w:rPr>
        <w:t>5</w:t>
      </w:r>
      <w:r w:rsidRPr="00FE3561">
        <w:rPr>
          <w:rFonts w:eastAsia="Times New Roman"/>
          <w:sz w:val="20"/>
          <w:szCs w:val="20"/>
          <w:lang w:val="ru-RU"/>
        </w:rPr>
        <w:t xml:space="preserve"> </w:t>
      </w:r>
      <w:r w:rsidRPr="00FE3561">
        <w:rPr>
          <w:rFonts w:eastAsia="Times New Roman"/>
          <w:sz w:val="20"/>
          <w:szCs w:val="20"/>
        </w:rPr>
        <w:t xml:space="preserve">и точка 8 </w:t>
      </w:r>
      <w:r w:rsidRPr="00FE3561">
        <w:rPr>
          <w:rFonts w:eastAsia="Times New Roman"/>
          <w:sz w:val="20"/>
          <w:szCs w:val="20"/>
          <w:lang w:val="ru-RU"/>
        </w:rPr>
        <w:t xml:space="preserve">од </w:t>
      </w:r>
      <w:r w:rsidRPr="00FE3561">
        <w:rPr>
          <w:bCs/>
          <w:sz w:val="20"/>
          <w:szCs w:val="20"/>
        </w:rPr>
        <w:t>МСС</w:t>
      </w:r>
      <w:r w:rsidRPr="00FE3561">
        <w:rPr>
          <w:bCs/>
          <w:sz w:val="20"/>
          <w:szCs w:val="20"/>
          <w:lang w:val="ru-RU"/>
        </w:rPr>
        <w:t xml:space="preserve"> 19</w:t>
      </w:r>
      <w:r w:rsidRPr="00FE3561">
        <w:rPr>
          <w:bCs/>
          <w:sz w:val="20"/>
          <w:szCs w:val="20"/>
        </w:rPr>
        <w:t xml:space="preserve">, </w:t>
      </w:r>
      <w:r w:rsidRPr="00FE3561">
        <w:rPr>
          <w:rFonts w:eastAsia="Times New Roman"/>
          <w:sz w:val="20"/>
          <w:szCs w:val="20"/>
          <w:lang w:val="ru-RU"/>
        </w:rPr>
        <w:t>плати</w:t>
      </w:r>
      <w:r w:rsidRPr="00FE3561">
        <w:rPr>
          <w:rFonts w:eastAsia="Times New Roman"/>
          <w:sz w:val="20"/>
          <w:szCs w:val="20"/>
        </w:rPr>
        <w:t>те</w:t>
      </w:r>
      <w:r w:rsidRPr="00FE3561">
        <w:rPr>
          <w:rFonts w:eastAsia="Times New Roman"/>
          <w:sz w:val="20"/>
          <w:szCs w:val="20"/>
          <w:lang w:val="ru-RU"/>
        </w:rPr>
        <w:t>, надници</w:t>
      </w:r>
      <w:r w:rsidRPr="00FE3561">
        <w:rPr>
          <w:rFonts w:eastAsia="Times New Roman"/>
          <w:sz w:val="20"/>
          <w:szCs w:val="20"/>
        </w:rPr>
        <w:t>те</w:t>
      </w:r>
      <w:r w:rsidRPr="00FE3561">
        <w:rPr>
          <w:rFonts w:eastAsia="Times New Roman"/>
          <w:sz w:val="20"/>
          <w:szCs w:val="20"/>
          <w:lang w:val="ru-RU"/>
        </w:rPr>
        <w:t xml:space="preserve"> и придонеси</w:t>
      </w:r>
      <w:r w:rsidRPr="00FE3561">
        <w:rPr>
          <w:rFonts w:eastAsia="Times New Roman"/>
          <w:sz w:val="20"/>
          <w:szCs w:val="20"/>
        </w:rPr>
        <w:t>те</w:t>
      </w:r>
      <w:r w:rsidRPr="00FE3561">
        <w:rPr>
          <w:rFonts w:eastAsia="Times New Roman"/>
          <w:sz w:val="20"/>
          <w:szCs w:val="20"/>
          <w:lang w:val="ru-RU"/>
        </w:rPr>
        <w:t xml:space="preserve"> за социјално осигурување</w:t>
      </w:r>
      <w:r w:rsidRPr="00FE3561">
        <w:rPr>
          <w:rFonts w:eastAsia="Times New Roman"/>
          <w:sz w:val="20"/>
          <w:szCs w:val="20"/>
        </w:rPr>
        <w:t xml:space="preserve"> се сметаат за </w:t>
      </w:r>
      <w:r w:rsidRPr="00FE3561">
        <w:rPr>
          <w:rFonts w:eastAsia="Times New Roman"/>
          <w:sz w:val="20"/>
          <w:szCs w:val="20"/>
          <w:u w:val="single"/>
        </w:rPr>
        <w:t>краткорочни придобивки</w:t>
      </w:r>
      <w:r w:rsidRPr="00FE3561">
        <w:rPr>
          <w:rFonts w:eastAsia="Times New Roman"/>
          <w:sz w:val="20"/>
          <w:szCs w:val="20"/>
          <w:u w:val="single"/>
          <w:lang w:val="ru-RU"/>
        </w:rPr>
        <w:t xml:space="preserve"> за вработени</w:t>
      </w:r>
      <w:r w:rsidRPr="00FE3561">
        <w:rPr>
          <w:rFonts w:eastAsia="Times New Roman"/>
          <w:sz w:val="20"/>
          <w:szCs w:val="20"/>
          <w:u w:val="single"/>
        </w:rPr>
        <w:t>те</w:t>
      </w:r>
      <w:r w:rsidRPr="00FE3561">
        <w:rPr>
          <w:rFonts w:eastAsia="Times New Roman"/>
          <w:sz w:val="20"/>
          <w:szCs w:val="20"/>
          <w:lang w:val="ru-RU"/>
        </w:rPr>
        <w:t xml:space="preserve">  </w:t>
      </w:r>
      <w:r w:rsidRPr="00FE3561">
        <w:rPr>
          <w:rFonts w:eastAsia="Times New Roman"/>
          <w:sz w:val="20"/>
          <w:szCs w:val="20"/>
        </w:rPr>
        <w:t>кои</w:t>
      </w:r>
      <w:r w:rsidRPr="00FE3561">
        <w:rPr>
          <w:rFonts w:eastAsia="Times New Roman"/>
          <w:sz w:val="20"/>
          <w:szCs w:val="20"/>
          <w:lang w:val="ru-RU"/>
        </w:rPr>
        <w:t xml:space="preserve"> </w:t>
      </w:r>
      <w:r w:rsidRPr="00FE3561">
        <w:rPr>
          <w:rFonts w:eastAsia="Times New Roman"/>
          <w:sz w:val="20"/>
          <w:szCs w:val="20"/>
        </w:rPr>
        <w:t xml:space="preserve">се </w:t>
      </w:r>
      <w:r w:rsidRPr="00FE3561">
        <w:rPr>
          <w:rFonts w:eastAsia="Times New Roman"/>
          <w:sz w:val="20"/>
          <w:szCs w:val="20"/>
          <w:u w:val="single"/>
        </w:rPr>
        <w:t>очекува да бидат подмирени во целост во рок од</w:t>
      </w:r>
      <w:r w:rsidRPr="00FE3561">
        <w:rPr>
          <w:rFonts w:eastAsia="Times New Roman"/>
          <w:sz w:val="20"/>
          <w:szCs w:val="20"/>
          <w:u w:val="single"/>
          <w:lang w:val="ru-RU"/>
        </w:rPr>
        <w:t xml:space="preserve"> дванаесет месеци </w:t>
      </w:r>
      <w:r w:rsidRPr="00FE3561">
        <w:rPr>
          <w:rFonts w:eastAsia="Times New Roman"/>
          <w:sz w:val="20"/>
          <w:szCs w:val="20"/>
          <w:u w:val="single"/>
        </w:rPr>
        <w:t>по завршување на годишниот известувачки период во кој вработените ги извршилет</w:t>
      </w:r>
      <w:r w:rsidRPr="00FE3561">
        <w:rPr>
          <w:rFonts w:eastAsia="Times New Roman"/>
          <w:sz w:val="20"/>
          <w:szCs w:val="20"/>
          <w:u w:val="single"/>
          <w:lang w:val="ru-RU"/>
        </w:rPr>
        <w:t xml:space="preserve"> </w:t>
      </w:r>
      <w:r w:rsidRPr="00FE3561">
        <w:rPr>
          <w:rFonts w:eastAsia="Times New Roman"/>
          <w:sz w:val="20"/>
          <w:szCs w:val="20"/>
          <w:u w:val="single"/>
        </w:rPr>
        <w:t>поврзаните услуги</w:t>
      </w:r>
      <w:r w:rsidRPr="00FE3561">
        <w:rPr>
          <w:rFonts w:eastAsia="Times New Roman"/>
          <w:sz w:val="20"/>
          <w:szCs w:val="20"/>
        </w:rPr>
        <w:t>.</w:t>
      </w:r>
    </w:p>
    <w:p w14:paraId="00523982" w14:textId="77777777" w:rsidR="005B51CD" w:rsidRPr="00FE3561" w:rsidRDefault="005B51CD" w:rsidP="005B51CD">
      <w:pPr>
        <w:jc w:val="both"/>
        <w:rPr>
          <w:rFonts w:eastAsia="Times New Roman"/>
          <w:color w:val="auto"/>
          <w:sz w:val="20"/>
          <w:szCs w:val="20"/>
        </w:rPr>
      </w:pPr>
      <w:r w:rsidRPr="00FE3561">
        <w:rPr>
          <w:rFonts w:eastAsia="Times New Roman"/>
          <w:color w:val="auto"/>
          <w:sz w:val="20"/>
          <w:szCs w:val="20"/>
        </w:rPr>
        <w:t xml:space="preserve">Согласно точка 10 на МСС 19, кога некој вработен му давал услуга на субјектот за време на пресметковниот период, </w:t>
      </w:r>
      <w:r w:rsidRPr="00FE3561">
        <w:rPr>
          <w:rFonts w:eastAsia="Times New Roman"/>
          <w:color w:val="auto"/>
          <w:sz w:val="20"/>
          <w:szCs w:val="20"/>
          <w:u w:val="single"/>
        </w:rPr>
        <w:t xml:space="preserve">субјектот треба да го признае недисконтираниот износ на краткорочните придобивки за вработени кои се очекува да се платат </w:t>
      </w:r>
      <w:r w:rsidRPr="00FE3561">
        <w:rPr>
          <w:rFonts w:eastAsia="Times New Roman"/>
          <w:color w:val="auto"/>
          <w:sz w:val="20"/>
          <w:szCs w:val="20"/>
        </w:rPr>
        <w:t>во замена за таа услуга:</w:t>
      </w:r>
    </w:p>
    <w:p w14:paraId="6D74EC8B" w14:textId="77777777" w:rsidR="005B51CD" w:rsidRPr="00FE3561" w:rsidRDefault="005B51CD" w:rsidP="005B51CD">
      <w:pPr>
        <w:ind w:firstLine="720"/>
        <w:jc w:val="both"/>
        <w:rPr>
          <w:rFonts w:eastAsia="Times New Roman"/>
          <w:color w:val="auto"/>
          <w:sz w:val="20"/>
          <w:szCs w:val="20"/>
        </w:rPr>
      </w:pPr>
      <w:r w:rsidRPr="00FE3561">
        <w:rPr>
          <w:rFonts w:eastAsia="Times New Roman"/>
          <w:color w:val="auto"/>
          <w:sz w:val="20"/>
          <w:szCs w:val="20"/>
        </w:rPr>
        <w:t xml:space="preserve">(a) </w:t>
      </w:r>
      <w:r w:rsidRPr="00FE3561">
        <w:rPr>
          <w:rFonts w:eastAsia="Times New Roman"/>
          <w:color w:val="auto"/>
          <w:sz w:val="20"/>
          <w:szCs w:val="20"/>
        </w:rPr>
        <w:tab/>
      </w:r>
      <w:r w:rsidRPr="00FE3561">
        <w:rPr>
          <w:rFonts w:eastAsia="Times New Roman"/>
          <w:color w:val="auto"/>
          <w:sz w:val="20"/>
          <w:szCs w:val="20"/>
          <w:u w:val="single"/>
        </w:rPr>
        <w:t>како обврска (пресметковна обврска), по одземање на сите износи кои се веќе платени</w:t>
      </w:r>
      <w:r w:rsidRPr="00FE3561">
        <w:rPr>
          <w:rFonts w:eastAsia="Times New Roman"/>
          <w:color w:val="auto"/>
          <w:sz w:val="20"/>
          <w:szCs w:val="20"/>
        </w:rPr>
        <w:t>. Доколку веќе платениот износ го надминува недисконтираниот износ на придобивките, субјектот треба да го признае тој вишок како средство (однапред платен расход) до износот до кој претплатата ќе води кон, на пример, намалување на идните плаќања или рефундирање на готовина</w:t>
      </w:r>
      <w:r w:rsidRPr="00FE3561">
        <w:rPr>
          <w:rFonts w:eastAsia="Times New Roman"/>
          <w:color w:val="auto"/>
          <w:sz w:val="20"/>
          <w:szCs w:val="20"/>
          <w:lang w:val="ru-RU"/>
        </w:rPr>
        <w:t>;</w:t>
      </w:r>
    </w:p>
    <w:p w14:paraId="39A372CE" w14:textId="77777777" w:rsidR="005B51CD" w:rsidRPr="00FE3561" w:rsidRDefault="005B51CD" w:rsidP="005B51CD">
      <w:pPr>
        <w:shd w:val="clear" w:color="auto" w:fill="FFFFFF"/>
        <w:ind w:firstLine="720"/>
        <w:jc w:val="both"/>
        <w:rPr>
          <w:sz w:val="20"/>
          <w:szCs w:val="20"/>
        </w:rPr>
      </w:pPr>
      <w:r w:rsidRPr="00FE3561">
        <w:rPr>
          <w:rFonts w:eastAsia="Times New Roman"/>
          <w:color w:val="auto"/>
          <w:sz w:val="20"/>
          <w:szCs w:val="20"/>
        </w:rPr>
        <w:t xml:space="preserve">(б) </w:t>
      </w:r>
      <w:r w:rsidRPr="00FE3561">
        <w:rPr>
          <w:rFonts w:eastAsia="Times New Roman"/>
          <w:color w:val="auto"/>
          <w:sz w:val="20"/>
          <w:szCs w:val="20"/>
        </w:rPr>
        <w:tab/>
      </w:r>
      <w:r w:rsidRPr="00FE3561">
        <w:rPr>
          <w:rFonts w:eastAsia="Times New Roman"/>
          <w:color w:val="auto"/>
          <w:sz w:val="20"/>
          <w:szCs w:val="20"/>
          <w:u w:val="single"/>
        </w:rPr>
        <w:t>како расход</w:t>
      </w:r>
      <w:r w:rsidRPr="00FE3561">
        <w:rPr>
          <w:rFonts w:eastAsia="Times New Roman"/>
          <w:color w:val="auto"/>
          <w:sz w:val="20"/>
          <w:szCs w:val="20"/>
        </w:rPr>
        <w:t>, освен ако некој друг МСС или МСФИ бара или дозволува вклучување на придобивките во набавната вредност на некое средство.</w:t>
      </w:r>
      <w:r w:rsidRPr="00FE3561">
        <w:rPr>
          <w:sz w:val="20"/>
          <w:szCs w:val="20"/>
        </w:rPr>
        <w:t xml:space="preserve"> Согласно горе наведеното</w:t>
      </w:r>
      <w:r w:rsidRPr="00FE3561">
        <w:rPr>
          <w:rFonts w:cs="StobiSerif Regular"/>
          <w:sz w:val="20"/>
          <w:szCs w:val="20"/>
        </w:rPr>
        <w:t xml:space="preserve"> и лимитираните информации изнесени во Вашето прашање</w:t>
      </w:r>
      <w:r w:rsidRPr="00FE3561">
        <w:rPr>
          <w:sz w:val="20"/>
          <w:szCs w:val="20"/>
        </w:rPr>
        <w:t>, на мислење сме дека:</w:t>
      </w:r>
    </w:p>
    <w:p w14:paraId="4E7816B0" w14:textId="77777777" w:rsidR="005B51CD" w:rsidRPr="00FE3561" w:rsidRDefault="005B51CD" w:rsidP="005B51CD">
      <w:pPr>
        <w:numPr>
          <w:ilvl w:val="0"/>
          <w:numId w:val="15"/>
        </w:numPr>
        <w:shd w:val="clear" w:color="auto" w:fill="FFFFFF"/>
        <w:jc w:val="both"/>
        <w:rPr>
          <w:sz w:val="20"/>
          <w:szCs w:val="20"/>
        </w:rPr>
      </w:pPr>
      <w:r w:rsidRPr="00FE3561">
        <w:rPr>
          <w:sz w:val="20"/>
          <w:szCs w:val="20"/>
        </w:rPr>
        <w:t>Доколку друштво редовно исплатува основна месечна плата во износ над 16 месечни бруто плати објавени од страна на Државниот завод за статистика за соодветната година и исплатата е кон вработено лице кое не е содружник, акционер или на него поврзано лице според член 16 од ЗДД, во тој случај целиот износ на исплатена плата би требало да се смета за признат расход на друштвото за цели на данокот на добивка.</w:t>
      </w:r>
    </w:p>
    <w:p w14:paraId="700B2D36" w14:textId="77777777" w:rsidR="005B51CD" w:rsidRPr="00FE3561" w:rsidRDefault="005B51CD" w:rsidP="005B51CD">
      <w:pPr>
        <w:numPr>
          <w:ilvl w:val="0"/>
          <w:numId w:val="15"/>
        </w:numPr>
        <w:shd w:val="clear" w:color="auto" w:fill="FFFFFF"/>
        <w:jc w:val="both"/>
        <w:rPr>
          <w:sz w:val="20"/>
          <w:szCs w:val="20"/>
        </w:rPr>
      </w:pPr>
      <w:r w:rsidRPr="00FE3561">
        <w:rPr>
          <w:sz w:val="20"/>
          <w:szCs w:val="20"/>
        </w:rPr>
        <w:t>Доколку пак исплатата е кон вработено лице кое е</w:t>
      </w:r>
      <w:r w:rsidRPr="00FE3561">
        <w:rPr>
          <w:sz w:val="20"/>
          <w:szCs w:val="20"/>
          <w:lang w:val="ru-RU"/>
        </w:rPr>
        <w:t xml:space="preserve"> </w:t>
      </w:r>
      <w:r w:rsidRPr="00FE3561">
        <w:rPr>
          <w:sz w:val="20"/>
          <w:szCs w:val="20"/>
        </w:rPr>
        <w:t xml:space="preserve">и содружник, акционер или на него поврзано лице според член 16 од ЗДД, и особено ако друштвото остварува намалени профити или загуби во работењето, во тој случај може да се смета дека друштвото овозможува стекнување на добивки на содружникот, акционерот, односно на него поврзаното лице т.е. врши скриени исплати на добивки на лицето и може да се смета за непризнат расход на друштвото за цели на данокот на добивка. </w:t>
      </w:r>
    </w:p>
    <w:p w14:paraId="77D25132" w14:textId="77777777" w:rsidR="005B51CD" w:rsidRPr="00FE3561" w:rsidRDefault="005B51CD" w:rsidP="005B51CD">
      <w:pPr>
        <w:shd w:val="clear" w:color="auto" w:fill="FFFFFF"/>
        <w:ind w:firstLine="720"/>
        <w:jc w:val="both"/>
        <w:rPr>
          <w:sz w:val="20"/>
          <w:szCs w:val="20"/>
        </w:rPr>
      </w:pPr>
    </w:p>
    <w:p w14:paraId="5A81F09C" w14:textId="77777777" w:rsidR="005B51CD" w:rsidRPr="00FE3561" w:rsidRDefault="005B51CD" w:rsidP="005B51CD">
      <w:pPr>
        <w:jc w:val="both"/>
        <w:rPr>
          <w:color w:val="auto"/>
          <w:sz w:val="20"/>
          <w:szCs w:val="20"/>
        </w:rPr>
      </w:pPr>
      <w:r w:rsidRPr="00FE3561">
        <w:rPr>
          <w:sz w:val="20"/>
          <w:szCs w:val="20"/>
        </w:rPr>
        <w:t>Во двата случаи наведени погоре, доколку се утврди дека платите исплатени кон вработеното лице во износ над 16 месечни бруто плати објавени од страна на Државниот завод за статистика за соодветната година се привидна правна работа со која се прикрива некоја друга правна работа, тогаш основата за утврдување на даночната обврска ја чини прикриената правна работа</w:t>
      </w:r>
    </w:p>
    <w:p w14:paraId="193B1196" w14:textId="70379566" w:rsidR="009157F7" w:rsidRPr="005B51CD" w:rsidRDefault="009157F7" w:rsidP="005B51CD"/>
    <w:sectPr w:rsidR="009157F7" w:rsidRPr="005B51C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5411B" w14:textId="77777777" w:rsidR="002D734A" w:rsidRPr="00C567EE" w:rsidRDefault="002D734A" w:rsidP="00805345">
      <w:r w:rsidRPr="00C567EE">
        <w:separator/>
      </w:r>
    </w:p>
  </w:endnote>
  <w:endnote w:type="continuationSeparator" w:id="0">
    <w:p w14:paraId="31D3B1D0" w14:textId="77777777" w:rsidR="002D734A" w:rsidRPr="00C567EE" w:rsidRDefault="002D734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D62DF" w14:textId="77777777" w:rsidR="002D734A" w:rsidRPr="00C567EE" w:rsidRDefault="002D734A" w:rsidP="00805345">
      <w:r w:rsidRPr="00C567EE">
        <w:separator/>
      </w:r>
    </w:p>
  </w:footnote>
  <w:footnote w:type="continuationSeparator" w:id="0">
    <w:p w14:paraId="4D2ABA25" w14:textId="77777777" w:rsidR="002D734A" w:rsidRPr="00C567EE" w:rsidRDefault="002D734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2"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3"/>
  </w:num>
  <w:num w:numId="2" w16cid:durableId="1900096440">
    <w:abstractNumId w:val="11"/>
  </w:num>
  <w:num w:numId="3" w16cid:durableId="160033430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0"/>
  </w:num>
  <w:num w:numId="8" w16cid:durableId="621112521">
    <w:abstractNumId w:val="3"/>
  </w:num>
  <w:num w:numId="9" w16cid:durableId="1622804002">
    <w:abstractNumId w:val="14"/>
  </w:num>
  <w:num w:numId="10" w16cid:durableId="58113930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7"/>
  </w:num>
  <w:num w:numId="12" w16cid:durableId="870530504">
    <w:abstractNumId w:val="12"/>
  </w:num>
  <w:num w:numId="13" w16cid:durableId="714353434">
    <w:abstractNumId w:val="6"/>
  </w:num>
  <w:num w:numId="14" w16cid:durableId="1341006038">
    <w:abstractNumId w:val="4"/>
  </w:num>
  <w:num w:numId="15" w16cid:durableId="78847477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D734A"/>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1083</Words>
  <Characters>6177</Characters>
  <Application>Microsoft Office Word</Application>
  <DocSecurity>0</DocSecurity>
  <Lines>51</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7246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2025-10-22T08:27:00Z</dcterms:created>
  <dcterms:modified xsi:type="dcterms:W3CDTF">2025-10-22T08:27:00Z</dcterms:modified>
</cp:coreProperties>
</file>