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FD702" w14:textId="77777777" w:rsidR="00AF7604" w:rsidRPr="009743D3" w:rsidRDefault="00AF7604" w:rsidP="00AF7604">
      <w:pPr>
        <w:autoSpaceDE w:val="0"/>
        <w:autoSpaceDN w:val="0"/>
        <w:adjustRightInd w:val="0"/>
        <w:jc w:val="both"/>
        <w:rPr>
          <w:rFonts w:cs="StobiSerif Bold"/>
          <w:sz w:val="20"/>
          <w:szCs w:val="20"/>
          <w:lang w:val="ru-RU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 xml:space="preserve">МИСЛЕЊЕ од 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1</w:t>
      </w:r>
      <w:r w:rsidRPr="009743D3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7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</w:t>
      </w:r>
      <w:r w:rsidRPr="009743D3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12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.2024:</w:t>
      </w:r>
      <w:r>
        <w:rPr>
          <w:rFonts w:cs="StobiSerif Bold"/>
          <w:sz w:val="20"/>
          <w:szCs w:val="20"/>
        </w:rPr>
        <w:t xml:space="preserve">  </w:t>
      </w:r>
    </w:p>
    <w:p w14:paraId="05885B7F" w14:textId="77777777" w:rsidR="00AF7604" w:rsidRPr="009743D3" w:rsidRDefault="00AF7604" w:rsidP="00AF7604">
      <w:pPr>
        <w:jc w:val="both"/>
        <w:rPr>
          <w:sz w:val="20"/>
          <w:szCs w:val="20"/>
          <w:lang w:val="ru-RU"/>
        </w:rPr>
      </w:pPr>
    </w:p>
    <w:p w14:paraId="5B2ABC99" w14:textId="77777777" w:rsidR="00AF7604" w:rsidRPr="00AC42C9" w:rsidRDefault="00AF7604" w:rsidP="00AF7604">
      <w:pPr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119232E5" w14:textId="77777777" w:rsidR="00AF7604" w:rsidRPr="00AC42C9" w:rsidRDefault="00AF7604" w:rsidP="00AF7604">
      <w:pPr>
        <w:ind w:firstLine="720"/>
        <w:jc w:val="both"/>
        <w:rPr>
          <w:sz w:val="20"/>
          <w:szCs w:val="20"/>
          <w:lang w:val="ru-RU"/>
        </w:rPr>
      </w:pPr>
    </w:p>
    <w:p w14:paraId="30B73197" w14:textId="77777777" w:rsidR="00AF7604" w:rsidRPr="00AC42C9" w:rsidRDefault="00AF7604" w:rsidP="00AF7604">
      <w:pPr>
        <w:shd w:val="clear" w:color="auto" w:fill="FFFFFF"/>
        <w:jc w:val="both"/>
        <w:rPr>
          <w:rFonts w:cs="StobiSerifRegular"/>
          <w:b/>
          <w:color w:val="auto"/>
          <w:sz w:val="20"/>
          <w:szCs w:val="20"/>
          <w:u w:val="single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7EF642BF" w14:textId="77777777" w:rsidR="00AF7604" w:rsidRDefault="00AF7604" w:rsidP="00AF7604">
      <w:pPr>
        <w:jc w:val="both"/>
        <w:rPr>
          <w:rFonts w:cs="StobiSerifRegular"/>
          <w:b/>
          <w:color w:val="auto"/>
          <w:sz w:val="20"/>
          <w:u w:val="single"/>
          <w:lang w:val="ru-RU"/>
        </w:rPr>
      </w:pPr>
    </w:p>
    <w:p w14:paraId="486B91DF" w14:textId="77777777" w:rsidR="00AF7604" w:rsidRPr="00D55F34" w:rsidRDefault="00AF7604" w:rsidP="00AF760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55F34">
        <w:rPr>
          <w:bCs/>
          <w:sz w:val="20"/>
          <w:szCs w:val="20"/>
          <w:lang w:val="ru-RU"/>
        </w:rPr>
        <w:t xml:space="preserve">Според член 7 од Законот за данок на добивка, објавен во Сл. весник на РСМ, бр.112/2014 … 199/2023, (во натамошниот текст: ЗДД), </w:t>
      </w:r>
      <w:r w:rsidRPr="00D55F34">
        <w:rPr>
          <w:sz w:val="20"/>
          <w:szCs w:val="20"/>
        </w:rPr>
        <w:t>основа за пресметување на данокот од добивка е добивката која се утврдува во даночниот биланс,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</w:t>
      </w:r>
      <w:r w:rsidRPr="00D55F34">
        <w:t xml:space="preserve">. </w:t>
      </w:r>
      <w:r w:rsidRPr="00D55F34">
        <w:rPr>
          <w:sz w:val="20"/>
          <w:szCs w:val="20"/>
        </w:rPr>
        <w:t>Притоа, основата за пресметување на данокот на добивка се зголемува за непризнаените расходи и помалку искажаните приходи за даночни цели (член 8 од ЗДД)</w:t>
      </w:r>
      <w:r w:rsidRPr="00D55F34">
        <w:t>.</w:t>
      </w:r>
    </w:p>
    <w:p w14:paraId="61C7F4D9" w14:textId="77777777" w:rsidR="00AF7604" w:rsidRPr="00D55F34" w:rsidRDefault="00AF7604" w:rsidP="00AF7604">
      <w:pPr>
        <w:jc w:val="both"/>
        <w:rPr>
          <w:rFonts w:ascii="Times New Roman" w:hAnsi="Times New Roman" w:cs="Times New Roman"/>
          <w:bCs/>
          <w:color w:val="auto"/>
          <w:sz w:val="22"/>
          <w:lang w:eastAsia="ar-SA"/>
        </w:rPr>
      </w:pPr>
    </w:p>
    <w:p w14:paraId="4F0904B2" w14:textId="77777777" w:rsidR="00AF7604" w:rsidRPr="00D55F34" w:rsidRDefault="00AF7604" w:rsidP="00AF7604">
      <w:pPr>
        <w:pStyle w:val="a0"/>
        <w:rPr>
          <w:rFonts w:ascii="Times New Roman" w:hAnsi="Times New Roman"/>
        </w:rPr>
      </w:pPr>
      <w:r w:rsidRPr="00D55F34">
        <w:t>Согласно член 11 од ЗДД, непризнаени расходи за даночни цели се и ненаплатените побарувања кои произлегуваат од трансфери на парични средства кои по својата економска суштина се заеми, доколку не се вратени во истата година во која е извршен трансферот на заемот. Но, оваа одредба</w:t>
      </w:r>
      <w:r w:rsidRPr="00D55F34">
        <w:rPr>
          <w:rFonts w:ascii="Times New Roman" w:hAnsi="Times New Roman"/>
        </w:rPr>
        <w:t>не се применува за дадените заеми на правни лица резиденти на Република Северна Македонија.</w:t>
      </w:r>
    </w:p>
    <w:p w14:paraId="2805EEAB" w14:textId="77777777" w:rsidR="00AF7604" w:rsidRPr="00D55F34" w:rsidRDefault="00AF7604" w:rsidP="00AF7604">
      <w:pPr>
        <w:jc w:val="both"/>
        <w:rPr>
          <w:rFonts w:ascii="Times New Roman" w:eastAsia="Times New Roman" w:hAnsi="Times New Roman" w:cs="Times New Roman"/>
          <w:bCs/>
          <w:color w:val="auto"/>
          <w:sz w:val="20"/>
          <w:szCs w:val="20"/>
          <w:lang w:eastAsia="ar-SA"/>
        </w:rPr>
      </w:pPr>
    </w:p>
    <w:p w14:paraId="06A1CCF9" w14:textId="77777777" w:rsidR="00AF7604" w:rsidRPr="00D55F34" w:rsidRDefault="00AF7604" w:rsidP="00AF7604">
      <w:pPr>
        <w:jc w:val="both"/>
        <w:rPr>
          <w:rFonts w:cs="StobiSerif Bold"/>
          <w:sz w:val="20"/>
          <w:szCs w:val="20"/>
          <w:lang w:val="ru-RU"/>
        </w:rPr>
      </w:pPr>
      <w:r w:rsidRPr="00D55F34">
        <w:rPr>
          <w:sz w:val="20"/>
          <w:szCs w:val="20"/>
        </w:rPr>
        <w:t xml:space="preserve">Ненаплатените побарувања по основ на даден заем од страна на македонско друштво кон друго правно лице кое исто така е резидент на Република Северна Македонија немаат даночни импликации во смисла на член 11 од ЗДД  </w:t>
      </w:r>
    </w:p>
    <w:p w14:paraId="193B1196" w14:textId="70379566" w:rsidR="009157F7" w:rsidRPr="00AF7604" w:rsidRDefault="009157F7" w:rsidP="00AF7604">
      <w:pPr>
        <w:rPr>
          <w:lang w:val="ru-RU"/>
        </w:rPr>
      </w:pPr>
    </w:p>
    <w:sectPr w:rsidR="009157F7" w:rsidRPr="00AF7604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765EE" w14:textId="77777777" w:rsidR="00D44910" w:rsidRPr="00C567EE" w:rsidRDefault="00D44910" w:rsidP="00805345">
      <w:r w:rsidRPr="00C567EE">
        <w:separator/>
      </w:r>
    </w:p>
  </w:endnote>
  <w:endnote w:type="continuationSeparator" w:id="0">
    <w:p w14:paraId="1B2A235F" w14:textId="77777777" w:rsidR="00D44910" w:rsidRPr="00C567EE" w:rsidRDefault="00D44910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 Bold">
    <w:panose1 w:val="020008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579E3" w14:textId="77777777" w:rsidR="00D44910" w:rsidRPr="00C567EE" w:rsidRDefault="00D44910" w:rsidP="00805345">
      <w:r w:rsidRPr="00C567EE">
        <w:separator/>
      </w:r>
    </w:p>
  </w:footnote>
  <w:footnote w:type="continuationSeparator" w:id="0">
    <w:p w14:paraId="58AB6A30" w14:textId="77777777" w:rsidR="00D44910" w:rsidRPr="00C567EE" w:rsidRDefault="00D44910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10"/>
  </w:num>
  <w:num w:numId="2" w16cid:durableId="1900096440">
    <w:abstractNumId w:val="8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7"/>
  </w:num>
  <w:num w:numId="8" w16cid:durableId="621112521">
    <w:abstractNumId w:val="2"/>
  </w:num>
  <w:num w:numId="9" w16cid:durableId="1622804002">
    <w:abstractNumId w:val="11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4"/>
  </w:num>
  <w:num w:numId="12" w16cid:durableId="870530504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14CC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11753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55D0"/>
    <w:rsid w:val="00C72A85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168B"/>
    <w:rsid w:val="00D428EB"/>
    <w:rsid w:val="00D44910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1289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2025-10-22T08:18:00Z</dcterms:created>
  <dcterms:modified xsi:type="dcterms:W3CDTF">2025-10-22T08:18:00Z</dcterms:modified>
</cp:coreProperties>
</file>