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157F5" w14:textId="77777777" w:rsidR="00D63979" w:rsidRDefault="00D63979" w:rsidP="00D63979">
      <w:pPr>
        <w:jc w:val="both"/>
        <w:rPr>
          <w:sz w:val="20"/>
          <w:szCs w:val="20"/>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01</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.2024:</w:t>
      </w:r>
      <w:r w:rsidRPr="008A415A">
        <w:rPr>
          <w:sz w:val="20"/>
          <w:szCs w:val="20"/>
        </w:rPr>
        <w:t xml:space="preserve"> </w:t>
      </w:r>
    </w:p>
    <w:p w14:paraId="23282DB8" w14:textId="77777777" w:rsidR="00D63979" w:rsidRPr="00565831" w:rsidRDefault="00D63979" w:rsidP="00D63979">
      <w:pPr>
        <w:jc w:val="both"/>
        <w:rPr>
          <w:sz w:val="20"/>
          <w:szCs w:val="20"/>
          <w:lang w:val="ru-RU"/>
        </w:rPr>
      </w:pPr>
    </w:p>
    <w:p w14:paraId="576EABE8" w14:textId="77777777" w:rsidR="00D63979" w:rsidRPr="00AC42C9" w:rsidRDefault="00D63979" w:rsidP="00D63979">
      <w:pPr>
        <w:jc w:val="both"/>
        <w:rPr>
          <w:sz w:val="20"/>
          <w:szCs w:val="20"/>
          <w:lang w:val="ru-RU"/>
        </w:rPr>
      </w:pPr>
      <w:r w:rsidRPr="00AC42C9">
        <w:rPr>
          <w:sz w:val="20"/>
          <w:szCs w:val="20"/>
          <w:lang w:val="ru-RU"/>
        </w:rPr>
        <w:t>Почитувани,</w:t>
      </w:r>
    </w:p>
    <w:p w14:paraId="4BC5C8BC" w14:textId="77777777" w:rsidR="00D63979" w:rsidRPr="009743D3" w:rsidRDefault="00D63979" w:rsidP="00D63979">
      <w:pPr>
        <w:shd w:val="clear" w:color="auto" w:fill="FFFFFF"/>
        <w:jc w:val="both"/>
        <w:rPr>
          <w:sz w:val="20"/>
          <w:szCs w:val="20"/>
          <w:lang w:val="ru-RU"/>
        </w:rPr>
      </w:pPr>
    </w:p>
    <w:p w14:paraId="7DB2ABE2" w14:textId="77777777" w:rsidR="00D63979" w:rsidRPr="00AC42C9" w:rsidRDefault="00D63979" w:rsidP="00D63979">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4A790A44" w14:textId="77777777" w:rsidR="00D63979" w:rsidRPr="00565831" w:rsidRDefault="00D63979" w:rsidP="00D63979">
      <w:pPr>
        <w:jc w:val="both"/>
        <w:rPr>
          <w:sz w:val="20"/>
          <w:szCs w:val="20"/>
          <w:lang w:val="ru-RU"/>
        </w:rPr>
      </w:pPr>
    </w:p>
    <w:p w14:paraId="208BB4A3" w14:textId="77777777" w:rsidR="00D63979" w:rsidRDefault="00D63979" w:rsidP="00D63979">
      <w:pPr>
        <w:jc w:val="both"/>
        <w:rPr>
          <w:bCs/>
          <w:sz w:val="20"/>
          <w:szCs w:val="20"/>
        </w:rPr>
      </w:pPr>
      <w:r>
        <w:rPr>
          <w:sz w:val="20"/>
          <w:szCs w:val="20"/>
        </w:rPr>
        <w:t xml:space="preserve">Со </w:t>
      </w:r>
      <w:r>
        <w:rPr>
          <w:bCs/>
          <w:sz w:val="20"/>
          <w:szCs w:val="20"/>
        </w:rPr>
        <w:t>одредбите од Глава</w:t>
      </w:r>
      <w:r>
        <w:rPr>
          <w:bCs/>
          <w:sz w:val="20"/>
          <w:szCs w:val="20"/>
          <w:lang w:val="ru-RU"/>
        </w:rPr>
        <w:t xml:space="preserve"> </w:t>
      </w:r>
      <w:r>
        <w:rPr>
          <w:bCs/>
          <w:sz w:val="20"/>
          <w:szCs w:val="20"/>
          <w:lang w:val="en-US"/>
        </w:rPr>
        <w:t>VII</w:t>
      </w:r>
      <w:r>
        <w:rPr>
          <w:bCs/>
          <w:sz w:val="20"/>
          <w:szCs w:val="20"/>
        </w:rPr>
        <w:t>. Поедноставен даночен режим за трговски друштва, поточно согласно член 31 од Законот за данок на добивка (во натамошен текст:ЗДД) објавен во „Сл.весник на РМ”, бр.112/14...248/19 и „Сл.весник на РСМ”, бр.232/19,…199/23, трговските друштва класифицирани како мали и микротрговци и правните лица резиденти на Република Северна Македонија кои водат сметководство и подготвуваат годишни сметки согласно со Законот за трговските друштва, согласно со условите утврдени во членот 33 од овој закон можат да се определат да плаќаат годишен данок на вкупен приход.</w:t>
      </w:r>
    </w:p>
    <w:p w14:paraId="2A9D9434" w14:textId="77777777" w:rsidR="00D63979" w:rsidRDefault="00D63979" w:rsidP="00D63979">
      <w:pPr>
        <w:jc w:val="both"/>
        <w:rPr>
          <w:sz w:val="20"/>
          <w:szCs w:val="20"/>
        </w:rPr>
      </w:pPr>
      <w:r>
        <w:rPr>
          <w:sz w:val="20"/>
          <w:szCs w:val="20"/>
        </w:rPr>
        <w:t>Трговските друштва ако извршуваат банкарска, финансиска и осигурителна дејност и дејност од областа на игрите на среќа и забавните игри, не припаѓаат во поедноставен даночен режим на плаќање на годишен данок на вкупен приход според ставот (1) на овој член.</w:t>
      </w:r>
    </w:p>
    <w:p w14:paraId="7A4B5133" w14:textId="77777777" w:rsidR="00D63979" w:rsidRDefault="00D63979" w:rsidP="00D63979">
      <w:pPr>
        <w:jc w:val="both"/>
        <w:rPr>
          <w:b/>
          <w:sz w:val="20"/>
          <w:szCs w:val="20"/>
        </w:rPr>
      </w:pPr>
      <w:r>
        <w:rPr>
          <w:sz w:val="20"/>
          <w:szCs w:val="20"/>
        </w:rPr>
        <w:t xml:space="preserve">Согласно член 32 од ЗДД, трговските друштва од членот 31 став (1) од овој закон се ослободени од обврската за плаќање на годишен данок на вкупен приход под услов вкупниот приход остварен во годината за која се утврдува данокот од кој било извор да не го надминува износот </w:t>
      </w:r>
      <w:r>
        <w:rPr>
          <w:b/>
          <w:sz w:val="20"/>
          <w:szCs w:val="20"/>
        </w:rPr>
        <w:t>од 3.000.000 денари на годишно ниво.</w:t>
      </w:r>
    </w:p>
    <w:p w14:paraId="36770837" w14:textId="77777777" w:rsidR="00D63979" w:rsidRPr="008A415A" w:rsidRDefault="00D63979" w:rsidP="00D63979">
      <w:pPr>
        <w:jc w:val="both"/>
        <w:rPr>
          <w:sz w:val="20"/>
          <w:szCs w:val="20"/>
        </w:rPr>
      </w:pPr>
      <w:r>
        <w:rPr>
          <w:sz w:val="20"/>
          <w:szCs w:val="20"/>
          <w:lang w:val="ru-RU"/>
        </w:rPr>
        <w:t xml:space="preserve">Со членот </w:t>
      </w:r>
      <w:r>
        <w:rPr>
          <w:bCs/>
          <w:sz w:val="20"/>
          <w:szCs w:val="20"/>
          <w:lang w:val="ru-RU"/>
        </w:rPr>
        <w:t>33 од ЗДД е предвидено дека,</w:t>
      </w:r>
      <w:r>
        <w:rPr>
          <w:b/>
          <w:bCs/>
          <w:sz w:val="20"/>
          <w:szCs w:val="20"/>
          <w:lang w:val="ru-RU"/>
        </w:rPr>
        <w:t xml:space="preserve"> </w:t>
      </w:r>
      <w:r>
        <w:rPr>
          <w:sz w:val="20"/>
          <w:szCs w:val="20"/>
          <w:lang w:val="ru-RU"/>
        </w:rPr>
        <w:t xml:space="preserve"> </w:t>
      </w:r>
      <w:r>
        <w:rPr>
          <w:sz w:val="20"/>
          <w:szCs w:val="20"/>
        </w:rPr>
        <w:t>т</w:t>
      </w:r>
      <w:r>
        <w:rPr>
          <w:sz w:val="20"/>
          <w:szCs w:val="20"/>
          <w:lang w:val="ru-RU"/>
        </w:rPr>
        <w:t>рговските друштва од членот 31 став (1) од овој закон можат да се определат да пресметуваат и плаќаат годишен данок на вкупен приход под услов:</w:t>
      </w:r>
    </w:p>
    <w:p w14:paraId="0F82F508" w14:textId="77777777" w:rsidR="00D63979" w:rsidRDefault="00D63979" w:rsidP="00D63979">
      <w:pPr>
        <w:pStyle w:val="NormalWeb"/>
        <w:spacing w:before="0" w:beforeAutospacing="0" w:after="0" w:afterAutospacing="0"/>
        <w:jc w:val="both"/>
        <w:rPr>
          <w:rFonts w:ascii="StobiSerif Regular" w:hAnsi="StobiSerif Regular"/>
          <w:sz w:val="20"/>
          <w:szCs w:val="20"/>
          <w:lang w:val="ru-RU"/>
        </w:rPr>
      </w:pPr>
      <w:r>
        <w:rPr>
          <w:rFonts w:ascii="StobiSerif Regular" w:hAnsi="StobiSerif Regular" w:cs="Arial"/>
          <w:sz w:val="20"/>
          <w:szCs w:val="20"/>
          <w:lang w:val="ru-RU"/>
        </w:rPr>
        <w:t xml:space="preserve">1) </w:t>
      </w:r>
      <w:r>
        <w:rPr>
          <w:rFonts w:ascii="StobiSerif Regular" w:hAnsi="StobiSerif Regular"/>
          <w:sz w:val="20"/>
          <w:szCs w:val="20"/>
          <w:lang w:val="ru-RU"/>
        </w:rPr>
        <w:t>да</w:t>
      </w:r>
      <w:r>
        <w:rPr>
          <w:rFonts w:ascii="StobiSerif Regular" w:hAnsi="StobiSerif Regular" w:cs="Arial"/>
          <w:sz w:val="20"/>
          <w:szCs w:val="20"/>
          <w:lang w:val="ru-RU"/>
        </w:rPr>
        <w:t xml:space="preserve"> </w:t>
      </w:r>
      <w:r>
        <w:rPr>
          <w:rFonts w:ascii="StobiSerif Regular" w:hAnsi="StobiSerif Regular"/>
          <w:sz w:val="20"/>
          <w:szCs w:val="20"/>
          <w:lang w:val="ru-RU"/>
        </w:rPr>
        <w:t>извршуваат</w:t>
      </w:r>
      <w:r>
        <w:rPr>
          <w:rFonts w:ascii="StobiSerif Regular" w:hAnsi="StobiSerif Regular" w:cs="Arial"/>
          <w:sz w:val="20"/>
          <w:szCs w:val="20"/>
          <w:lang w:val="ru-RU"/>
        </w:rPr>
        <w:t xml:space="preserve"> </w:t>
      </w:r>
      <w:r>
        <w:rPr>
          <w:rFonts w:ascii="StobiSerif Regular" w:hAnsi="StobiSerif Regular"/>
          <w:sz w:val="20"/>
          <w:szCs w:val="20"/>
          <w:lang w:val="ru-RU"/>
        </w:rPr>
        <w:t>стопанска</w:t>
      </w:r>
      <w:r>
        <w:rPr>
          <w:rFonts w:ascii="StobiSerif Regular" w:hAnsi="StobiSerif Regular" w:cs="Arial"/>
          <w:sz w:val="20"/>
          <w:szCs w:val="20"/>
          <w:lang w:val="ru-RU"/>
        </w:rPr>
        <w:t xml:space="preserve"> </w:t>
      </w:r>
      <w:r>
        <w:rPr>
          <w:rFonts w:ascii="StobiSerif Regular" w:hAnsi="StobiSerif Regular"/>
          <w:sz w:val="20"/>
          <w:szCs w:val="20"/>
          <w:lang w:val="ru-RU"/>
        </w:rPr>
        <w:t>дејност</w:t>
      </w:r>
      <w:r>
        <w:rPr>
          <w:rFonts w:ascii="StobiSerif Regular" w:hAnsi="StobiSerif Regular" w:cs="Arial"/>
          <w:sz w:val="20"/>
          <w:szCs w:val="20"/>
          <w:lang w:val="ru-RU"/>
        </w:rPr>
        <w:t xml:space="preserve">, </w:t>
      </w:r>
      <w:r>
        <w:rPr>
          <w:rFonts w:ascii="StobiSerif Regular" w:hAnsi="StobiSerif Regular"/>
          <w:sz w:val="20"/>
          <w:szCs w:val="20"/>
          <w:lang w:val="ru-RU"/>
        </w:rPr>
        <w:t>освен</w:t>
      </w:r>
      <w:r>
        <w:rPr>
          <w:rFonts w:ascii="StobiSerif Regular" w:hAnsi="StobiSerif Regular" w:cs="Arial"/>
          <w:sz w:val="20"/>
          <w:szCs w:val="20"/>
          <w:lang w:val="ru-RU"/>
        </w:rPr>
        <w:t xml:space="preserve"> </w:t>
      </w:r>
      <w:r>
        <w:rPr>
          <w:rFonts w:ascii="StobiSerif Regular" w:hAnsi="StobiSerif Regular"/>
          <w:sz w:val="20"/>
          <w:szCs w:val="20"/>
          <w:lang w:val="ru-RU"/>
        </w:rPr>
        <w:t>банкарска</w:t>
      </w:r>
      <w:r>
        <w:rPr>
          <w:rFonts w:ascii="StobiSerif Regular" w:hAnsi="StobiSerif Regular" w:cs="Arial"/>
          <w:sz w:val="20"/>
          <w:szCs w:val="20"/>
          <w:lang w:val="ru-RU"/>
        </w:rPr>
        <w:t xml:space="preserve">, </w:t>
      </w:r>
      <w:r>
        <w:rPr>
          <w:rFonts w:ascii="StobiSerif Regular" w:hAnsi="StobiSerif Regular"/>
          <w:sz w:val="20"/>
          <w:szCs w:val="20"/>
          <w:lang w:val="ru-RU"/>
        </w:rPr>
        <w:t>финансиска</w:t>
      </w:r>
      <w:r>
        <w:rPr>
          <w:rFonts w:ascii="StobiSerif Regular" w:hAnsi="StobiSerif Regular" w:cs="Arial"/>
          <w:sz w:val="20"/>
          <w:szCs w:val="20"/>
          <w:lang w:val="ru-RU"/>
        </w:rPr>
        <w:t xml:space="preserve">, </w:t>
      </w:r>
      <w:r>
        <w:rPr>
          <w:rFonts w:ascii="StobiSerif Regular" w:hAnsi="StobiSerif Regular"/>
          <w:sz w:val="20"/>
          <w:szCs w:val="20"/>
          <w:lang w:val="ru-RU"/>
        </w:rPr>
        <w:t>осигурителна</w:t>
      </w:r>
      <w:r>
        <w:rPr>
          <w:rFonts w:ascii="StobiSerif Regular" w:hAnsi="StobiSerif Regular" w:cs="Arial"/>
          <w:sz w:val="20"/>
          <w:szCs w:val="20"/>
          <w:lang w:val="ru-RU"/>
        </w:rPr>
        <w:t xml:space="preserve"> </w:t>
      </w:r>
      <w:r>
        <w:rPr>
          <w:rFonts w:ascii="StobiSerif Regular" w:hAnsi="StobiSerif Regular"/>
          <w:sz w:val="20"/>
          <w:szCs w:val="20"/>
          <w:lang w:val="ru-RU"/>
        </w:rPr>
        <w:t>и</w:t>
      </w:r>
      <w:r>
        <w:rPr>
          <w:rFonts w:ascii="StobiSerif Regular" w:hAnsi="StobiSerif Regular" w:cs="Arial"/>
          <w:sz w:val="20"/>
          <w:szCs w:val="20"/>
          <w:lang w:val="ru-RU"/>
        </w:rPr>
        <w:t xml:space="preserve"> </w:t>
      </w:r>
      <w:r>
        <w:rPr>
          <w:rFonts w:ascii="StobiSerif Regular" w:hAnsi="StobiSerif Regular"/>
          <w:sz w:val="20"/>
          <w:szCs w:val="20"/>
          <w:lang w:val="ru-RU"/>
        </w:rPr>
        <w:t>дејност</w:t>
      </w:r>
      <w:r>
        <w:rPr>
          <w:rFonts w:ascii="StobiSerif Regular" w:hAnsi="StobiSerif Regular" w:cs="Arial"/>
          <w:sz w:val="20"/>
          <w:szCs w:val="20"/>
          <w:lang w:val="ru-RU"/>
        </w:rPr>
        <w:t xml:space="preserve"> </w:t>
      </w:r>
      <w:r>
        <w:rPr>
          <w:rFonts w:ascii="StobiSerif Regular" w:hAnsi="StobiSerif Regular"/>
          <w:sz w:val="20"/>
          <w:szCs w:val="20"/>
          <w:lang w:val="ru-RU"/>
        </w:rPr>
        <w:t>од</w:t>
      </w:r>
      <w:r>
        <w:rPr>
          <w:rFonts w:ascii="StobiSerif Regular" w:hAnsi="StobiSerif Regular" w:cs="Arial"/>
          <w:sz w:val="20"/>
          <w:szCs w:val="20"/>
          <w:lang w:val="ru-RU"/>
        </w:rPr>
        <w:t xml:space="preserve"> </w:t>
      </w:r>
      <w:r>
        <w:rPr>
          <w:rFonts w:ascii="StobiSerif Regular" w:hAnsi="StobiSerif Regular"/>
          <w:sz w:val="20"/>
          <w:szCs w:val="20"/>
          <w:lang w:val="ru-RU"/>
        </w:rPr>
        <w:t>областа</w:t>
      </w:r>
      <w:r>
        <w:rPr>
          <w:rFonts w:ascii="StobiSerif Regular" w:hAnsi="StobiSerif Regular" w:cs="Arial"/>
          <w:sz w:val="20"/>
          <w:szCs w:val="20"/>
          <w:lang w:val="ru-RU"/>
        </w:rPr>
        <w:t xml:space="preserve"> </w:t>
      </w:r>
      <w:r>
        <w:rPr>
          <w:rFonts w:ascii="StobiSerif Regular" w:hAnsi="StobiSerif Regular"/>
          <w:sz w:val="20"/>
          <w:szCs w:val="20"/>
          <w:lang w:val="ru-RU"/>
        </w:rPr>
        <w:t>на</w:t>
      </w:r>
      <w:r>
        <w:rPr>
          <w:rFonts w:ascii="StobiSerif Regular" w:hAnsi="StobiSerif Regular" w:cs="Arial"/>
          <w:sz w:val="20"/>
          <w:szCs w:val="20"/>
          <w:lang w:val="ru-RU"/>
        </w:rPr>
        <w:t xml:space="preserve"> </w:t>
      </w:r>
      <w:r>
        <w:rPr>
          <w:rFonts w:ascii="StobiSerif Regular" w:hAnsi="StobiSerif Regular"/>
          <w:sz w:val="20"/>
          <w:szCs w:val="20"/>
          <w:lang w:val="ru-RU"/>
        </w:rPr>
        <w:t>игрите</w:t>
      </w:r>
      <w:r>
        <w:rPr>
          <w:rFonts w:ascii="StobiSerif Regular" w:hAnsi="StobiSerif Regular" w:cs="Arial"/>
          <w:sz w:val="20"/>
          <w:szCs w:val="20"/>
          <w:lang w:val="ru-RU"/>
        </w:rPr>
        <w:t xml:space="preserve"> </w:t>
      </w:r>
      <w:r>
        <w:rPr>
          <w:rFonts w:ascii="StobiSerif Regular" w:hAnsi="StobiSerif Regular"/>
          <w:sz w:val="20"/>
          <w:szCs w:val="20"/>
          <w:lang w:val="ru-RU"/>
        </w:rPr>
        <w:t>на</w:t>
      </w:r>
      <w:r>
        <w:rPr>
          <w:rFonts w:ascii="StobiSerif Regular" w:hAnsi="StobiSerif Regular" w:cs="Arial"/>
          <w:sz w:val="20"/>
          <w:szCs w:val="20"/>
          <w:lang w:val="ru-RU"/>
        </w:rPr>
        <w:t xml:space="preserve"> </w:t>
      </w:r>
      <w:r>
        <w:rPr>
          <w:rFonts w:ascii="StobiSerif Regular" w:hAnsi="StobiSerif Regular"/>
          <w:sz w:val="20"/>
          <w:szCs w:val="20"/>
          <w:lang w:val="ru-RU"/>
        </w:rPr>
        <w:t>среќа</w:t>
      </w:r>
      <w:r>
        <w:rPr>
          <w:rFonts w:ascii="StobiSerif Regular" w:hAnsi="StobiSerif Regular" w:cs="Arial"/>
          <w:sz w:val="20"/>
          <w:szCs w:val="20"/>
          <w:lang w:val="ru-RU"/>
        </w:rPr>
        <w:t xml:space="preserve"> </w:t>
      </w:r>
      <w:r>
        <w:rPr>
          <w:rFonts w:ascii="StobiSerif Regular" w:hAnsi="StobiSerif Regular"/>
          <w:sz w:val="20"/>
          <w:szCs w:val="20"/>
          <w:lang w:val="ru-RU"/>
        </w:rPr>
        <w:t>и</w:t>
      </w:r>
      <w:r>
        <w:rPr>
          <w:rFonts w:ascii="StobiSerif Regular" w:hAnsi="StobiSerif Regular" w:cs="Arial"/>
          <w:sz w:val="20"/>
          <w:szCs w:val="20"/>
          <w:lang w:val="ru-RU"/>
        </w:rPr>
        <w:t xml:space="preserve"> </w:t>
      </w:r>
      <w:r>
        <w:rPr>
          <w:rFonts w:ascii="StobiSerif Regular" w:hAnsi="StobiSerif Regular"/>
          <w:sz w:val="20"/>
          <w:szCs w:val="20"/>
          <w:lang w:val="ru-RU"/>
        </w:rPr>
        <w:t>забавните</w:t>
      </w:r>
      <w:r>
        <w:rPr>
          <w:rFonts w:ascii="StobiSerif Regular" w:hAnsi="StobiSerif Regular" w:cs="Arial"/>
          <w:sz w:val="20"/>
          <w:szCs w:val="20"/>
          <w:lang w:val="ru-RU"/>
        </w:rPr>
        <w:t xml:space="preserve"> </w:t>
      </w:r>
      <w:r>
        <w:rPr>
          <w:rFonts w:ascii="StobiSerif Regular" w:hAnsi="StobiSerif Regular"/>
          <w:sz w:val="20"/>
          <w:szCs w:val="20"/>
          <w:lang w:val="ru-RU"/>
        </w:rPr>
        <w:t>игри</w:t>
      </w:r>
      <w:r>
        <w:rPr>
          <w:rFonts w:ascii="StobiSerif Regular" w:hAnsi="StobiSerif Regular" w:cs="Arial"/>
          <w:sz w:val="20"/>
          <w:szCs w:val="20"/>
          <w:lang w:val="ru-RU"/>
        </w:rPr>
        <w:t xml:space="preserve"> </w:t>
      </w:r>
      <w:r>
        <w:rPr>
          <w:rFonts w:ascii="StobiSerif Regular" w:hAnsi="StobiSerif Regular"/>
          <w:sz w:val="20"/>
          <w:szCs w:val="20"/>
          <w:lang w:val="ru-RU"/>
        </w:rPr>
        <w:t>и</w:t>
      </w:r>
    </w:p>
    <w:p w14:paraId="2DFEFF96" w14:textId="77777777" w:rsidR="00D63979" w:rsidRDefault="00D63979" w:rsidP="00D63979">
      <w:pPr>
        <w:pStyle w:val="NormalWeb"/>
        <w:spacing w:before="0" w:beforeAutospacing="0" w:after="0" w:afterAutospacing="0"/>
        <w:jc w:val="both"/>
        <w:rPr>
          <w:rFonts w:ascii="StobiSerif Regular" w:hAnsi="StobiSerif Regular"/>
          <w:sz w:val="20"/>
          <w:szCs w:val="20"/>
          <w:lang w:val="ru-RU"/>
        </w:rPr>
      </w:pPr>
      <w:r>
        <w:rPr>
          <w:rFonts w:ascii="StobiSerif Regular" w:hAnsi="StobiSerif Regular" w:cs="Arial"/>
          <w:sz w:val="20"/>
          <w:szCs w:val="20"/>
          <w:lang w:val="ru-RU"/>
        </w:rPr>
        <w:t xml:space="preserve">2) </w:t>
      </w:r>
      <w:r>
        <w:rPr>
          <w:rFonts w:ascii="StobiSerif Regular" w:hAnsi="StobiSerif Regular"/>
          <w:sz w:val="20"/>
          <w:szCs w:val="20"/>
          <w:lang w:val="ru-RU"/>
        </w:rPr>
        <w:t>вкупниот</w:t>
      </w:r>
      <w:r>
        <w:rPr>
          <w:rFonts w:ascii="StobiSerif Regular" w:hAnsi="StobiSerif Regular" w:cs="Arial"/>
          <w:sz w:val="20"/>
          <w:szCs w:val="20"/>
          <w:lang w:val="ru-RU"/>
        </w:rPr>
        <w:t xml:space="preserve"> </w:t>
      </w:r>
      <w:r>
        <w:rPr>
          <w:rFonts w:ascii="StobiSerif Regular" w:hAnsi="StobiSerif Regular"/>
          <w:sz w:val="20"/>
          <w:szCs w:val="20"/>
          <w:lang w:val="ru-RU"/>
        </w:rPr>
        <w:t>приход</w:t>
      </w:r>
      <w:r>
        <w:rPr>
          <w:rFonts w:ascii="StobiSerif Regular" w:hAnsi="StobiSerif Regular" w:cs="Arial"/>
          <w:sz w:val="20"/>
          <w:szCs w:val="20"/>
          <w:lang w:val="ru-RU"/>
        </w:rPr>
        <w:t xml:space="preserve"> </w:t>
      </w:r>
      <w:r>
        <w:rPr>
          <w:rFonts w:ascii="StobiSerif Regular" w:hAnsi="StobiSerif Regular"/>
          <w:sz w:val="20"/>
          <w:szCs w:val="20"/>
          <w:lang w:val="ru-RU"/>
        </w:rPr>
        <w:t>остварен</w:t>
      </w:r>
      <w:r>
        <w:rPr>
          <w:rFonts w:ascii="StobiSerif Regular" w:hAnsi="StobiSerif Regular" w:cs="Arial"/>
          <w:sz w:val="20"/>
          <w:szCs w:val="20"/>
          <w:lang w:val="ru-RU"/>
        </w:rPr>
        <w:t xml:space="preserve"> </w:t>
      </w:r>
      <w:r>
        <w:rPr>
          <w:rFonts w:ascii="StobiSerif Regular" w:hAnsi="StobiSerif Regular"/>
          <w:sz w:val="20"/>
          <w:szCs w:val="20"/>
          <w:lang w:val="ru-RU"/>
        </w:rPr>
        <w:t>во</w:t>
      </w:r>
      <w:r>
        <w:rPr>
          <w:rFonts w:ascii="StobiSerif Regular" w:hAnsi="StobiSerif Regular" w:cs="Arial"/>
          <w:sz w:val="20"/>
          <w:szCs w:val="20"/>
          <w:lang w:val="ru-RU"/>
        </w:rPr>
        <w:t xml:space="preserve"> </w:t>
      </w:r>
      <w:r>
        <w:rPr>
          <w:rFonts w:ascii="StobiSerif Regular" w:hAnsi="StobiSerif Regular"/>
          <w:sz w:val="20"/>
          <w:szCs w:val="20"/>
          <w:lang w:val="ru-RU"/>
        </w:rPr>
        <w:t>годината</w:t>
      </w:r>
      <w:r>
        <w:rPr>
          <w:rFonts w:ascii="StobiSerif Regular" w:hAnsi="StobiSerif Regular" w:cs="Arial"/>
          <w:sz w:val="20"/>
          <w:szCs w:val="20"/>
          <w:lang w:val="ru-RU"/>
        </w:rPr>
        <w:t xml:space="preserve"> </w:t>
      </w:r>
      <w:r>
        <w:rPr>
          <w:rFonts w:ascii="StobiSerif Regular" w:hAnsi="StobiSerif Regular"/>
          <w:sz w:val="20"/>
          <w:szCs w:val="20"/>
          <w:lang w:val="ru-RU"/>
        </w:rPr>
        <w:t>за</w:t>
      </w:r>
      <w:r>
        <w:rPr>
          <w:rFonts w:ascii="StobiSerif Regular" w:hAnsi="StobiSerif Regular" w:cs="Arial"/>
          <w:sz w:val="20"/>
          <w:szCs w:val="20"/>
          <w:lang w:val="ru-RU"/>
        </w:rPr>
        <w:t xml:space="preserve"> </w:t>
      </w:r>
      <w:r>
        <w:rPr>
          <w:rFonts w:ascii="StobiSerif Regular" w:hAnsi="StobiSerif Regular"/>
          <w:sz w:val="20"/>
          <w:szCs w:val="20"/>
          <w:lang w:val="ru-RU"/>
        </w:rPr>
        <w:t>која</w:t>
      </w:r>
      <w:r>
        <w:rPr>
          <w:rFonts w:ascii="StobiSerif Regular" w:hAnsi="StobiSerif Regular" w:cs="Arial"/>
          <w:sz w:val="20"/>
          <w:szCs w:val="20"/>
          <w:lang w:val="ru-RU"/>
        </w:rPr>
        <w:t xml:space="preserve"> </w:t>
      </w:r>
      <w:r>
        <w:rPr>
          <w:rFonts w:ascii="StobiSerif Regular" w:hAnsi="StobiSerif Regular"/>
          <w:sz w:val="20"/>
          <w:szCs w:val="20"/>
          <w:lang w:val="ru-RU"/>
        </w:rPr>
        <w:t>се</w:t>
      </w:r>
      <w:r>
        <w:rPr>
          <w:rFonts w:ascii="StobiSerif Regular" w:hAnsi="StobiSerif Regular" w:cs="Arial"/>
          <w:sz w:val="20"/>
          <w:szCs w:val="20"/>
          <w:lang w:val="ru-RU"/>
        </w:rPr>
        <w:t xml:space="preserve"> </w:t>
      </w:r>
      <w:r>
        <w:rPr>
          <w:rFonts w:ascii="StobiSerif Regular" w:hAnsi="StobiSerif Regular"/>
          <w:sz w:val="20"/>
          <w:szCs w:val="20"/>
          <w:lang w:val="ru-RU"/>
        </w:rPr>
        <w:t>утврдува</w:t>
      </w:r>
      <w:r>
        <w:rPr>
          <w:rFonts w:ascii="StobiSerif Regular" w:hAnsi="StobiSerif Regular" w:cs="Arial"/>
          <w:sz w:val="20"/>
          <w:szCs w:val="20"/>
          <w:lang w:val="ru-RU"/>
        </w:rPr>
        <w:t xml:space="preserve"> </w:t>
      </w:r>
      <w:r>
        <w:rPr>
          <w:rFonts w:ascii="StobiSerif Regular" w:hAnsi="StobiSerif Regular"/>
          <w:sz w:val="20"/>
          <w:szCs w:val="20"/>
          <w:lang w:val="ru-RU"/>
        </w:rPr>
        <w:t>данокот</w:t>
      </w:r>
      <w:r>
        <w:rPr>
          <w:rFonts w:ascii="StobiSerif Regular" w:hAnsi="StobiSerif Regular" w:cs="Arial"/>
          <w:sz w:val="20"/>
          <w:szCs w:val="20"/>
          <w:lang w:val="ru-RU"/>
        </w:rPr>
        <w:t xml:space="preserve"> </w:t>
      </w:r>
      <w:r>
        <w:rPr>
          <w:rFonts w:ascii="StobiSerif Regular" w:hAnsi="StobiSerif Regular"/>
          <w:sz w:val="20"/>
          <w:szCs w:val="20"/>
          <w:lang w:val="ru-RU"/>
        </w:rPr>
        <w:t>од</w:t>
      </w:r>
      <w:r>
        <w:rPr>
          <w:rFonts w:ascii="StobiSerif Regular" w:hAnsi="StobiSerif Regular" w:cs="Arial"/>
          <w:sz w:val="20"/>
          <w:szCs w:val="20"/>
          <w:lang w:val="ru-RU"/>
        </w:rPr>
        <w:t xml:space="preserve"> </w:t>
      </w:r>
      <w:r>
        <w:rPr>
          <w:rFonts w:ascii="StobiSerif Regular" w:hAnsi="StobiSerif Regular"/>
          <w:sz w:val="20"/>
          <w:szCs w:val="20"/>
          <w:lang w:val="ru-RU"/>
        </w:rPr>
        <w:t>кој</w:t>
      </w:r>
      <w:r>
        <w:rPr>
          <w:rFonts w:ascii="StobiSerif Regular" w:hAnsi="StobiSerif Regular" w:cs="Arial"/>
          <w:sz w:val="20"/>
          <w:szCs w:val="20"/>
          <w:lang w:val="ru-RU"/>
        </w:rPr>
        <w:t xml:space="preserve"> </w:t>
      </w:r>
      <w:r>
        <w:rPr>
          <w:rFonts w:ascii="StobiSerif Regular" w:hAnsi="StobiSerif Regular"/>
          <w:sz w:val="20"/>
          <w:szCs w:val="20"/>
          <w:lang w:val="ru-RU"/>
        </w:rPr>
        <w:t>било</w:t>
      </w:r>
      <w:r>
        <w:rPr>
          <w:rFonts w:ascii="StobiSerif Regular" w:hAnsi="StobiSerif Regular" w:cs="Arial"/>
          <w:sz w:val="20"/>
          <w:szCs w:val="20"/>
          <w:lang w:val="ru-RU"/>
        </w:rPr>
        <w:t xml:space="preserve"> </w:t>
      </w:r>
      <w:r>
        <w:rPr>
          <w:rFonts w:ascii="StobiSerif Regular" w:hAnsi="StobiSerif Regular"/>
          <w:sz w:val="20"/>
          <w:szCs w:val="20"/>
          <w:lang w:val="ru-RU"/>
        </w:rPr>
        <w:t>извор</w:t>
      </w:r>
      <w:r>
        <w:rPr>
          <w:rFonts w:ascii="StobiSerif Regular" w:hAnsi="StobiSerif Regular" w:cs="Arial"/>
          <w:sz w:val="20"/>
          <w:szCs w:val="20"/>
          <w:lang w:val="ru-RU"/>
        </w:rPr>
        <w:t xml:space="preserve"> </w:t>
      </w:r>
      <w:r>
        <w:rPr>
          <w:rFonts w:ascii="StobiSerif Regular" w:hAnsi="StobiSerif Regular"/>
          <w:sz w:val="20"/>
          <w:szCs w:val="20"/>
          <w:lang w:val="ru-RU"/>
        </w:rPr>
        <w:t>да</w:t>
      </w:r>
      <w:r>
        <w:rPr>
          <w:rFonts w:ascii="StobiSerif Regular" w:hAnsi="StobiSerif Regular" w:cs="Arial"/>
          <w:sz w:val="20"/>
          <w:szCs w:val="20"/>
          <w:lang w:val="ru-RU"/>
        </w:rPr>
        <w:t xml:space="preserve"> </w:t>
      </w:r>
      <w:r>
        <w:rPr>
          <w:rFonts w:ascii="StobiSerif Regular" w:hAnsi="StobiSerif Regular"/>
          <w:sz w:val="20"/>
          <w:szCs w:val="20"/>
          <w:lang w:val="ru-RU"/>
        </w:rPr>
        <w:t>изнесува</w:t>
      </w:r>
      <w:r>
        <w:rPr>
          <w:rFonts w:ascii="StobiSerif Regular" w:hAnsi="StobiSerif Regular" w:cs="Arial"/>
          <w:sz w:val="20"/>
          <w:szCs w:val="20"/>
          <w:lang w:val="ru-RU"/>
        </w:rPr>
        <w:t xml:space="preserve"> </w:t>
      </w:r>
      <w:r>
        <w:rPr>
          <w:rFonts w:ascii="StobiSerif Regular" w:hAnsi="StobiSerif Regular"/>
          <w:sz w:val="20"/>
          <w:szCs w:val="20"/>
          <w:lang w:val="ru-RU"/>
        </w:rPr>
        <w:t>од</w:t>
      </w:r>
      <w:r>
        <w:rPr>
          <w:rFonts w:ascii="StobiSerif Regular" w:hAnsi="StobiSerif Regular" w:cs="Arial"/>
          <w:sz w:val="20"/>
          <w:szCs w:val="20"/>
          <w:lang w:val="ru-RU"/>
        </w:rPr>
        <w:t xml:space="preserve"> </w:t>
      </w:r>
      <w:r>
        <w:rPr>
          <w:rFonts w:ascii="StobiSerif Regular" w:hAnsi="StobiSerif Regular" w:cs="Arial"/>
          <w:bCs/>
          <w:sz w:val="20"/>
          <w:szCs w:val="20"/>
          <w:lang w:val="ru-RU"/>
        </w:rPr>
        <w:t xml:space="preserve">3.000.001 </w:t>
      </w:r>
      <w:r>
        <w:rPr>
          <w:rFonts w:ascii="StobiSerif Regular" w:hAnsi="StobiSerif Regular"/>
          <w:bCs/>
          <w:sz w:val="20"/>
          <w:szCs w:val="20"/>
          <w:lang w:val="ru-RU"/>
        </w:rPr>
        <w:t>до</w:t>
      </w:r>
      <w:r>
        <w:rPr>
          <w:rFonts w:ascii="StobiSerif Regular" w:hAnsi="StobiSerif Regular" w:cs="Arial"/>
          <w:bCs/>
          <w:sz w:val="20"/>
          <w:szCs w:val="20"/>
          <w:lang w:val="ru-RU"/>
        </w:rPr>
        <w:t xml:space="preserve"> 6.000.000</w:t>
      </w:r>
      <w:r>
        <w:rPr>
          <w:rFonts w:ascii="StobiSerif Regular" w:hAnsi="StobiSerif Regular" w:cs="Arial"/>
          <w:sz w:val="20"/>
          <w:szCs w:val="20"/>
          <w:lang w:val="ru-RU"/>
        </w:rPr>
        <w:t xml:space="preserve"> </w:t>
      </w:r>
      <w:r>
        <w:rPr>
          <w:rFonts w:ascii="StobiSerif Regular" w:hAnsi="StobiSerif Regular"/>
          <w:sz w:val="20"/>
          <w:szCs w:val="20"/>
          <w:lang w:val="ru-RU"/>
        </w:rPr>
        <w:t>денари</w:t>
      </w:r>
      <w:r>
        <w:rPr>
          <w:rFonts w:ascii="StobiSerif Regular" w:hAnsi="StobiSerif Regular" w:cs="Arial"/>
          <w:sz w:val="20"/>
          <w:szCs w:val="20"/>
          <w:lang w:val="ru-RU"/>
        </w:rPr>
        <w:t xml:space="preserve"> </w:t>
      </w:r>
      <w:r>
        <w:rPr>
          <w:rFonts w:ascii="StobiSerif Regular" w:hAnsi="StobiSerif Regular"/>
          <w:sz w:val="20"/>
          <w:szCs w:val="20"/>
          <w:lang w:val="ru-RU"/>
        </w:rPr>
        <w:t>на</w:t>
      </w:r>
      <w:r>
        <w:rPr>
          <w:rFonts w:ascii="StobiSerif Regular" w:hAnsi="StobiSerif Regular" w:cs="Arial"/>
          <w:sz w:val="20"/>
          <w:szCs w:val="20"/>
          <w:lang w:val="ru-RU"/>
        </w:rPr>
        <w:t xml:space="preserve"> </w:t>
      </w:r>
      <w:r>
        <w:rPr>
          <w:rFonts w:ascii="StobiSerif Regular" w:hAnsi="StobiSerif Regular"/>
          <w:sz w:val="20"/>
          <w:szCs w:val="20"/>
          <w:lang w:val="ru-RU"/>
        </w:rPr>
        <w:t>годишно</w:t>
      </w:r>
      <w:r>
        <w:rPr>
          <w:rFonts w:ascii="StobiSerif Regular" w:hAnsi="StobiSerif Regular" w:cs="Arial"/>
          <w:sz w:val="20"/>
          <w:szCs w:val="20"/>
          <w:lang w:val="ru-RU"/>
        </w:rPr>
        <w:t xml:space="preserve"> </w:t>
      </w:r>
      <w:r>
        <w:rPr>
          <w:rFonts w:ascii="StobiSerif Regular" w:hAnsi="StobiSerif Regular"/>
          <w:sz w:val="20"/>
          <w:szCs w:val="20"/>
          <w:lang w:val="ru-RU"/>
        </w:rPr>
        <w:t>ниво</w:t>
      </w:r>
      <w:r>
        <w:rPr>
          <w:rFonts w:ascii="StobiSerif Regular" w:hAnsi="StobiSerif Regular" w:cs="Arial"/>
          <w:sz w:val="20"/>
          <w:szCs w:val="20"/>
          <w:lang w:val="ru-RU"/>
        </w:rPr>
        <w:t>.</w:t>
      </w:r>
    </w:p>
    <w:p w14:paraId="2A9FE281" w14:textId="77777777" w:rsidR="00D63979" w:rsidRDefault="00D63979" w:rsidP="00D63979">
      <w:pPr>
        <w:pStyle w:val="NormalWeb"/>
        <w:spacing w:before="0" w:beforeAutospacing="0" w:after="0" w:afterAutospacing="0"/>
        <w:jc w:val="both"/>
        <w:rPr>
          <w:rFonts w:ascii="StobiSerif Regular" w:hAnsi="StobiSerif Regular"/>
          <w:sz w:val="20"/>
          <w:szCs w:val="20"/>
          <w:lang w:val="mk-MK"/>
        </w:rPr>
      </w:pPr>
      <w:r>
        <w:rPr>
          <w:rFonts w:ascii="StobiSerif Regular" w:hAnsi="StobiSerif Regular" w:cs="Arial"/>
          <w:sz w:val="20"/>
          <w:szCs w:val="20"/>
          <w:lang w:val="ru-RU"/>
        </w:rPr>
        <w:t>(</w:t>
      </w:r>
      <w:r>
        <w:rPr>
          <w:rFonts w:ascii="StobiSerif Regular" w:hAnsi="StobiSerif Regular"/>
          <w:sz w:val="20"/>
          <w:szCs w:val="20"/>
          <w:lang w:val="ru-RU"/>
        </w:rPr>
        <w:t>2) Трговските друштва одбраниот модел на оданочување од ставот (1) на овој член не може да го менуваат во наредните три години вклучувајќи ја и годината за која се плаќа данок на вкупен приход, доколку во наредните три години остваруваат вкупен приход од 3.000.001 до 6.000.000 денари на годишно ниво.</w:t>
      </w:r>
    </w:p>
    <w:p w14:paraId="52C12D81" w14:textId="77777777" w:rsidR="00D63979" w:rsidRDefault="00D63979" w:rsidP="00D63979">
      <w:pPr>
        <w:pStyle w:val="NormalWeb"/>
        <w:spacing w:before="0" w:beforeAutospacing="0" w:after="0" w:afterAutospacing="0"/>
        <w:jc w:val="both"/>
        <w:rPr>
          <w:rFonts w:ascii="StobiSerif Regular" w:hAnsi="StobiSerif Regular"/>
          <w:sz w:val="20"/>
          <w:szCs w:val="20"/>
          <w:lang w:val="mk-MK"/>
        </w:rPr>
      </w:pPr>
      <w:r>
        <w:rPr>
          <w:rFonts w:ascii="StobiSerif Regular" w:hAnsi="StobiSerif Regular"/>
          <w:sz w:val="20"/>
          <w:szCs w:val="20"/>
          <w:lang w:val="mk-MK"/>
        </w:rPr>
        <w:t xml:space="preserve"> Според член 34 од ЗДД, г</w:t>
      </w:r>
      <w:r>
        <w:rPr>
          <w:rFonts w:ascii="StobiSerif Regular" w:hAnsi="StobiSerif Regular"/>
          <w:sz w:val="20"/>
          <w:szCs w:val="20"/>
          <w:lang w:val="ru-RU"/>
        </w:rPr>
        <w:t>одишниот данок на вкупен приход се пресметува врз основа на остварениот вкупен приход по сите основи во деловната година за која се утврдува данокот. Под деловна година се подразбира календарска година.</w:t>
      </w:r>
    </w:p>
    <w:p w14:paraId="57FB8202" w14:textId="77777777" w:rsidR="00D63979" w:rsidRDefault="00D63979" w:rsidP="00D63979">
      <w:pPr>
        <w:pStyle w:val="NormalWeb"/>
        <w:spacing w:before="0" w:beforeAutospacing="0" w:after="0" w:afterAutospacing="0"/>
        <w:jc w:val="both"/>
        <w:rPr>
          <w:rFonts w:ascii="StobiSerif Regular" w:hAnsi="StobiSerif Regular"/>
          <w:sz w:val="20"/>
          <w:szCs w:val="20"/>
          <w:lang w:val="ru-RU"/>
        </w:rPr>
      </w:pPr>
      <w:r>
        <w:rPr>
          <w:rFonts w:ascii="StobiSerif Regular" w:hAnsi="StobiSerif Regular"/>
          <w:sz w:val="20"/>
          <w:szCs w:val="20"/>
          <w:lang w:val="ru-RU"/>
        </w:rPr>
        <w:t>Данокот на вкупен приход се пресметува во висина од 1% од износот на остварениот вкупен приход искажан во Билансот на успех во годишната сметка и финансиските извештаи според одредбите од Законот за трговските друштва, за деловната година за која се утврдува данокот.</w:t>
      </w:r>
    </w:p>
    <w:p w14:paraId="66B75FE4" w14:textId="77777777" w:rsidR="00D63979" w:rsidRDefault="00D63979" w:rsidP="00D63979">
      <w:pPr>
        <w:pStyle w:val="NormalWeb"/>
        <w:spacing w:before="0" w:beforeAutospacing="0" w:after="0" w:afterAutospacing="0"/>
        <w:jc w:val="both"/>
        <w:rPr>
          <w:rFonts w:ascii="StobiSerif Regular" w:hAnsi="StobiSerif Regular"/>
          <w:sz w:val="20"/>
          <w:szCs w:val="20"/>
          <w:lang w:val="ru-RU"/>
        </w:rPr>
      </w:pPr>
      <w:r>
        <w:rPr>
          <w:rFonts w:ascii="StobiSerif Regular" w:hAnsi="StobiSerif Regular"/>
          <w:sz w:val="20"/>
          <w:szCs w:val="20"/>
          <w:lang w:val="ru-RU"/>
        </w:rPr>
        <w:t xml:space="preserve">За новоформираните трговски друштва кои работеле пократко од една календарска година, а ги исполниле предвидените услови за влез во поедноставениот даночен режим, вкупниот приход системски се пресметува на годишно ниво на следниот начин: </w:t>
      </w:r>
    </w:p>
    <w:p w14:paraId="23E68D83" w14:textId="77777777" w:rsidR="00D63979" w:rsidRDefault="00D63979" w:rsidP="00D63979">
      <w:pPr>
        <w:jc w:val="both"/>
        <w:rPr>
          <w:rFonts w:eastAsia="Times New Roman" w:cs="Times New Roman"/>
          <w:color w:val="auto"/>
          <w:sz w:val="20"/>
          <w:szCs w:val="20"/>
        </w:rPr>
      </w:pPr>
      <w:r>
        <w:rPr>
          <w:sz w:val="20"/>
          <w:szCs w:val="20"/>
          <w:lang w:val="ru-RU"/>
        </w:rPr>
        <w:t>Пример: доколку обврзникот е регистриран на 19.02.2023 година (со што бројот на месеци на работење ќе биде еднаков на 10), вкупниот приход системски ќе се пресмета на годишно ниво, така што износот на остварениот вкупен приход се дели со 10  и се множи со 12.</w:t>
      </w:r>
      <w:r>
        <w:rPr>
          <w:rFonts w:eastAsia="Times New Roman" w:cs="Times New Roman"/>
          <w:color w:val="auto"/>
          <w:sz w:val="20"/>
          <w:szCs w:val="20"/>
        </w:rPr>
        <w:t xml:space="preserve">    </w:t>
      </w:r>
    </w:p>
    <w:p w14:paraId="5ECFB2B4" w14:textId="77777777" w:rsidR="00D63979" w:rsidRDefault="00D63979" w:rsidP="00D63979">
      <w:pPr>
        <w:jc w:val="both"/>
        <w:rPr>
          <w:sz w:val="20"/>
          <w:szCs w:val="20"/>
          <w:lang w:val="ru-RU"/>
        </w:rPr>
      </w:pPr>
      <w:r>
        <w:rPr>
          <w:sz w:val="20"/>
          <w:szCs w:val="20"/>
          <w:lang w:val="ru-RU"/>
        </w:rPr>
        <w:t xml:space="preserve">Во случај кога датумот на започнување на дејноста е во првата половина на месецот (од 1 до 15 ), овој период ќе се смета за цел месец, </w:t>
      </w:r>
      <w:r>
        <w:rPr>
          <w:sz w:val="20"/>
          <w:szCs w:val="20"/>
        </w:rPr>
        <w:t>в</w:t>
      </w:r>
      <w:r>
        <w:rPr>
          <w:sz w:val="20"/>
          <w:szCs w:val="20"/>
          <w:lang w:val="ru-RU"/>
        </w:rPr>
        <w:t>о случај кога датумот на започнување на дејноста е во втората половина на месецот (од 16 до крај на месецот), овој период не се смета за цел месец .</w:t>
      </w:r>
    </w:p>
    <w:p w14:paraId="6107949B" w14:textId="77777777" w:rsidR="00D63979" w:rsidRPr="008A415A" w:rsidRDefault="00D63979" w:rsidP="00D63979">
      <w:pPr>
        <w:jc w:val="both"/>
        <w:rPr>
          <w:sz w:val="20"/>
          <w:szCs w:val="20"/>
          <w:lang w:val="ru-RU"/>
        </w:rPr>
      </w:pPr>
      <w:r>
        <w:rPr>
          <w:sz w:val="20"/>
          <w:szCs w:val="20"/>
          <w:lang w:val="ru-RU"/>
        </w:rPr>
        <w:lastRenderedPageBreak/>
        <w:t>Доколку така пресметаниот вкупен приход на годишно ниво изнесува до 6.000.000 денари даночниот обврзник има можност за влез во поедноставениот режим на вкупен приход</w:t>
      </w:r>
      <w:r>
        <w:rPr>
          <w:sz w:val="20"/>
          <w:szCs w:val="20"/>
        </w:rPr>
        <w:t xml:space="preserve"> и може да поднесе образец ДБ-ВП.</w:t>
      </w:r>
    </w:p>
    <w:p w14:paraId="7ADCE9C1" w14:textId="77777777" w:rsidR="00D63979" w:rsidRPr="008A415A" w:rsidRDefault="00D63979" w:rsidP="00D63979">
      <w:pPr>
        <w:pStyle w:val="BodyText"/>
        <w:spacing w:after="0"/>
        <w:jc w:val="both"/>
        <w:rPr>
          <w:sz w:val="20"/>
          <w:szCs w:val="20"/>
        </w:rPr>
      </w:pPr>
      <w:proofErr w:type="spellStart"/>
      <w:r>
        <w:rPr>
          <w:rFonts w:eastAsia="Times New Roman" w:cs="Times New Roman"/>
          <w:color w:val="auto"/>
          <w:sz w:val="20"/>
          <w:szCs w:val="20"/>
          <w:lang w:val="ru-RU"/>
        </w:rPr>
        <w:t>Според</w:t>
      </w:r>
      <w:proofErr w:type="spellEnd"/>
      <w:r>
        <w:rPr>
          <w:rFonts w:eastAsia="Times New Roman" w:cs="Times New Roman"/>
          <w:color w:val="auto"/>
          <w:sz w:val="20"/>
          <w:szCs w:val="20"/>
          <w:lang w:val="ru-RU"/>
        </w:rPr>
        <w:t xml:space="preserve"> член 26 од ЗДД, </w:t>
      </w:r>
      <w:proofErr w:type="spellStart"/>
      <w:r>
        <w:rPr>
          <w:rFonts w:eastAsia="Times New Roman" w:cs="Times New Roman"/>
          <w:color w:val="auto"/>
          <w:sz w:val="20"/>
          <w:szCs w:val="20"/>
          <w:lang w:val="ru-RU"/>
        </w:rPr>
        <w:t>доколку</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даночниот</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обврзник</w:t>
      </w:r>
      <w:proofErr w:type="spellEnd"/>
      <w:r>
        <w:rPr>
          <w:rFonts w:eastAsia="Times New Roman" w:cs="Times New Roman"/>
          <w:color w:val="auto"/>
          <w:sz w:val="20"/>
          <w:szCs w:val="20"/>
          <w:lang w:val="ru-RU"/>
        </w:rPr>
        <w:t xml:space="preserve"> се </w:t>
      </w:r>
      <w:proofErr w:type="spellStart"/>
      <w:r>
        <w:rPr>
          <w:rFonts w:eastAsia="Times New Roman" w:cs="Times New Roman"/>
          <w:color w:val="auto"/>
          <w:sz w:val="20"/>
          <w:szCs w:val="20"/>
          <w:lang w:val="ru-RU"/>
        </w:rPr>
        <w:t>ликвидира</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добивката</w:t>
      </w:r>
      <w:proofErr w:type="spellEnd"/>
      <w:r>
        <w:rPr>
          <w:rFonts w:eastAsia="Times New Roman" w:cs="Times New Roman"/>
          <w:color w:val="auto"/>
          <w:sz w:val="20"/>
          <w:szCs w:val="20"/>
          <w:lang w:val="ru-RU"/>
        </w:rPr>
        <w:t xml:space="preserve"> или </w:t>
      </w:r>
      <w:proofErr w:type="spellStart"/>
      <w:r>
        <w:rPr>
          <w:rFonts w:eastAsia="Times New Roman" w:cs="Times New Roman"/>
          <w:color w:val="auto"/>
          <w:sz w:val="20"/>
          <w:szCs w:val="20"/>
          <w:lang w:val="ru-RU"/>
        </w:rPr>
        <w:t>загубата</w:t>
      </w:r>
      <w:proofErr w:type="spellEnd"/>
      <w:r>
        <w:rPr>
          <w:rFonts w:eastAsia="Times New Roman" w:cs="Times New Roman"/>
          <w:color w:val="auto"/>
          <w:sz w:val="20"/>
          <w:szCs w:val="20"/>
          <w:lang w:val="ru-RU"/>
        </w:rPr>
        <w:t xml:space="preserve"> се </w:t>
      </w:r>
      <w:proofErr w:type="spellStart"/>
      <w:r>
        <w:rPr>
          <w:rFonts w:eastAsia="Times New Roman" w:cs="Times New Roman"/>
          <w:color w:val="auto"/>
          <w:sz w:val="20"/>
          <w:szCs w:val="20"/>
          <w:lang w:val="ru-RU"/>
        </w:rPr>
        <w:t>утврдува</w:t>
      </w:r>
      <w:proofErr w:type="spellEnd"/>
      <w:r>
        <w:rPr>
          <w:rFonts w:eastAsia="Times New Roman" w:cs="Times New Roman"/>
          <w:color w:val="auto"/>
          <w:sz w:val="20"/>
          <w:szCs w:val="20"/>
          <w:lang w:val="ru-RU"/>
        </w:rPr>
        <w:t xml:space="preserve"> во </w:t>
      </w:r>
      <w:proofErr w:type="spellStart"/>
      <w:r>
        <w:rPr>
          <w:rFonts w:eastAsia="Times New Roman" w:cs="Times New Roman"/>
          <w:color w:val="auto"/>
          <w:sz w:val="20"/>
          <w:szCs w:val="20"/>
          <w:lang w:val="ru-RU"/>
        </w:rPr>
        <w:t>периодот</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ликвидација</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која</w:t>
      </w:r>
      <w:proofErr w:type="spellEnd"/>
      <w:r>
        <w:rPr>
          <w:rFonts w:eastAsia="Times New Roman" w:cs="Times New Roman"/>
          <w:color w:val="auto"/>
          <w:sz w:val="20"/>
          <w:szCs w:val="20"/>
          <w:lang w:val="ru-RU"/>
        </w:rPr>
        <w:t xml:space="preserve"> е продолжение на </w:t>
      </w:r>
      <w:proofErr w:type="spellStart"/>
      <w:r>
        <w:rPr>
          <w:rFonts w:eastAsia="Times New Roman" w:cs="Times New Roman"/>
          <w:color w:val="auto"/>
          <w:sz w:val="20"/>
          <w:szCs w:val="20"/>
          <w:lang w:val="ru-RU"/>
        </w:rPr>
        <w:t>последниот</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даночен</w:t>
      </w:r>
      <w:proofErr w:type="spellEnd"/>
      <w:r>
        <w:rPr>
          <w:rFonts w:eastAsia="Times New Roman" w:cs="Times New Roman"/>
          <w:color w:val="auto"/>
          <w:sz w:val="20"/>
          <w:szCs w:val="20"/>
          <w:lang w:val="ru-RU"/>
        </w:rPr>
        <w:t xml:space="preserve"> период пред </w:t>
      </w:r>
      <w:proofErr w:type="spellStart"/>
      <w:r>
        <w:rPr>
          <w:rFonts w:eastAsia="Times New Roman" w:cs="Times New Roman"/>
          <w:color w:val="auto"/>
          <w:sz w:val="20"/>
          <w:szCs w:val="20"/>
          <w:lang w:val="ru-RU"/>
        </w:rPr>
        <w:t>заклучувањето</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постапката</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ликвидација</w:t>
      </w:r>
      <w:proofErr w:type="spellEnd"/>
      <w:r>
        <w:rPr>
          <w:rFonts w:eastAsia="Times New Roman" w:cs="Times New Roman"/>
          <w:color w:val="auto"/>
          <w:sz w:val="20"/>
          <w:szCs w:val="20"/>
          <w:lang w:val="ru-RU"/>
        </w:rPr>
        <w:t xml:space="preserve"> и пред </w:t>
      </w:r>
      <w:proofErr w:type="spellStart"/>
      <w:r>
        <w:rPr>
          <w:rFonts w:eastAsia="Times New Roman" w:cs="Times New Roman"/>
          <w:color w:val="auto"/>
          <w:sz w:val="20"/>
          <w:szCs w:val="20"/>
          <w:lang w:val="ru-RU"/>
        </w:rPr>
        <w:t>распределбата</w:t>
      </w:r>
      <w:proofErr w:type="spellEnd"/>
      <w:r>
        <w:rPr>
          <w:rFonts w:eastAsia="Times New Roman" w:cs="Times New Roman"/>
          <w:color w:val="auto"/>
          <w:sz w:val="20"/>
          <w:szCs w:val="20"/>
          <w:lang w:val="ru-RU"/>
        </w:rPr>
        <w:t xml:space="preserve"> на ликвидациониот остаток. </w:t>
      </w:r>
      <w:proofErr w:type="spellStart"/>
      <w:r>
        <w:rPr>
          <w:rFonts w:eastAsia="Times New Roman" w:cs="Times New Roman"/>
          <w:color w:val="auto"/>
          <w:sz w:val="20"/>
          <w:szCs w:val="20"/>
          <w:lang w:val="ru-RU"/>
        </w:rPr>
        <w:t>Почетниот</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биланс</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состојба</w:t>
      </w:r>
      <w:proofErr w:type="spellEnd"/>
      <w:r>
        <w:rPr>
          <w:rFonts w:eastAsia="Times New Roman" w:cs="Times New Roman"/>
          <w:color w:val="auto"/>
          <w:sz w:val="20"/>
          <w:szCs w:val="20"/>
          <w:lang w:val="ru-RU"/>
        </w:rPr>
        <w:t xml:space="preserve"> за </w:t>
      </w:r>
      <w:proofErr w:type="spellStart"/>
      <w:r>
        <w:rPr>
          <w:rFonts w:eastAsia="Times New Roman" w:cs="Times New Roman"/>
          <w:color w:val="auto"/>
          <w:sz w:val="20"/>
          <w:szCs w:val="20"/>
          <w:lang w:val="ru-RU"/>
        </w:rPr>
        <w:t>отворање</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постапката</w:t>
      </w:r>
      <w:proofErr w:type="spellEnd"/>
      <w:r>
        <w:rPr>
          <w:rFonts w:eastAsia="Times New Roman" w:cs="Times New Roman"/>
          <w:color w:val="auto"/>
          <w:sz w:val="20"/>
          <w:szCs w:val="20"/>
          <w:lang w:val="ru-RU"/>
        </w:rPr>
        <w:t xml:space="preserve"> за </w:t>
      </w:r>
      <w:proofErr w:type="spellStart"/>
      <w:r>
        <w:rPr>
          <w:rFonts w:eastAsia="Times New Roman" w:cs="Times New Roman"/>
          <w:color w:val="auto"/>
          <w:sz w:val="20"/>
          <w:szCs w:val="20"/>
          <w:lang w:val="ru-RU"/>
        </w:rPr>
        <w:t>ликвидација</w:t>
      </w:r>
      <w:proofErr w:type="spellEnd"/>
      <w:r>
        <w:rPr>
          <w:rFonts w:eastAsia="Times New Roman" w:cs="Times New Roman"/>
          <w:color w:val="auto"/>
          <w:sz w:val="20"/>
          <w:szCs w:val="20"/>
          <w:lang w:val="ru-RU"/>
        </w:rPr>
        <w:t xml:space="preserve"> треба да е </w:t>
      </w:r>
      <w:proofErr w:type="spellStart"/>
      <w:r>
        <w:rPr>
          <w:rFonts w:eastAsia="Times New Roman" w:cs="Times New Roman"/>
          <w:color w:val="auto"/>
          <w:sz w:val="20"/>
          <w:szCs w:val="20"/>
          <w:lang w:val="ru-RU"/>
        </w:rPr>
        <w:t>ист</w:t>
      </w:r>
      <w:proofErr w:type="spellEnd"/>
      <w:r>
        <w:rPr>
          <w:rFonts w:eastAsia="Times New Roman" w:cs="Times New Roman"/>
          <w:color w:val="auto"/>
          <w:sz w:val="20"/>
          <w:szCs w:val="20"/>
          <w:lang w:val="ru-RU"/>
        </w:rPr>
        <w:t xml:space="preserve"> со </w:t>
      </w:r>
      <w:proofErr w:type="spellStart"/>
      <w:r>
        <w:rPr>
          <w:rFonts w:eastAsia="Times New Roman" w:cs="Times New Roman"/>
          <w:color w:val="auto"/>
          <w:sz w:val="20"/>
          <w:szCs w:val="20"/>
          <w:lang w:val="ru-RU"/>
        </w:rPr>
        <w:t>билансот</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состојбата</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утврден</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денот</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отворањето</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постапката</w:t>
      </w:r>
      <w:proofErr w:type="spellEnd"/>
      <w:r>
        <w:rPr>
          <w:rFonts w:eastAsia="Times New Roman" w:cs="Times New Roman"/>
          <w:color w:val="auto"/>
          <w:sz w:val="20"/>
          <w:szCs w:val="20"/>
          <w:lang w:val="ru-RU"/>
        </w:rPr>
        <w:t xml:space="preserve"> за </w:t>
      </w:r>
      <w:proofErr w:type="spellStart"/>
      <w:r>
        <w:rPr>
          <w:rFonts w:eastAsia="Times New Roman" w:cs="Times New Roman"/>
          <w:color w:val="auto"/>
          <w:sz w:val="20"/>
          <w:szCs w:val="20"/>
          <w:lang w:val="ru-RU"/>
        </w:rPr>
        <w:t>ликвидација</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Завршниот</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биланс</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состојба</w:t>
      </w:r>
      <w:proofErr w:type="spellEnd"/>
      <w:r>
        <w:rPr>
          <w:rFonts w:eastAsia="Times New Roman" w:cs="Times New Roman"/>
          <w:color w:val="auto"/>
          <w:sz w:val="20"/>
          <w:szCs w:val="20"/>
          <w:lang w:val="ru-RU"/>
        </w:rPr>
        <w:t xml:space="preserve"> се </w:t>
      </w:r>
      <w:proofErr w:type="spellStart"/>
      <w:r>
        <w:rPr>
          <w:rFonts w:eastAsia="Times New Roman" w:cs="Times New Roman"/>
          <w:color w:val="auto"/>
          <w:sz w:val="20"/>
          <w:szCs w:val="20"/>
          <w:lang w:val="ru-RU"/>
        </w:rPr>
        <w:t>составува</w:t>
      </w:r>
      <w:proofErr w:type="spellEnd"/>
      <w:r>
        <w:rPr>
          <w:rFonts w:eastAsia="Times New Roman" w:cs="Times New Roman"/>
          <w:color w:val="auto"/>
          <w:sz w:val="20"/>
          <w:szCs w:val="20"/>
          <w:lang w:val="ru-RU"/>
        </w:rPr>
        <w:t xml:space="preserve"> по </w:t>
      </w:r>
      <w:proofErr w:type="spellStart"/>
      <w:r>
        <w:rPr>
          <w:rFonts w:eastAsia="Times New Roman" w:cs="Times New Roman"/>
          <w:color w:val="auto"/>
          <w:sz w:val="20"/>
          <w:szCs w:val="20"/>
          <w:lang w:val="ru-RU"/>
        </w:rPr>
        <w:t>намирувањето</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доверителите</w:t>
      </w:r>
      <w:proofErr w:type="spellEnd"/>
      <w:r>
        <w:rPr>
          <w:rFonts w:eastAsia="Times New Roman" w:cs="Times New Roman"/>
          <w:color w:val="auto"/>
          <w:sz w:val="20"/>
          <w:szCs w:val="20"/>
          <w:lang w:val="ru-RU"/>
        </w:rPr>
        <w:t xml:space="preserve"> и пред </w:t>
      </w:r>
      <w:proofErr w:type="spellStart"/>
      <w:r>
        <w:rPr>
          <w:rFonts w:eastAsia="Times New Roman" w:cs="Times New Roman"/>
          <w:color w:val="auto"/>
          <w:sz w:val="20"/>
          <w:szCs w:val="20"/>
          <w:lang w:val="ru-RU"/>
        </w:rPr>
        <w:t>распределувањето</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ликвидационата</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маса</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односно</w:t>
      </w:r>
      <w:proofErr w:type="spellEnd"/>
      <w:r>
        <w:rPr>
          <w:rFonts w:eastAsia="Times New Roman" w:cs="Times New Roman"/>
          <w:color w:val="auto"/>
          <w:sz w:val="20"/>
          <w:szCs w:val="20"/>
          <w:lang w:val="ru-RU"/>
        </w:rPr>
        <w:t xml:space="preserve"> по </w:t>
      </w:r>
      <w:proofErr w:type="spellStart"/>
      <w:r>
        <w:rPr>
          <w:rFonts w:eastAsia="Times New Roman" w:cs="Times New Roman"/>
          <w:color w:val="auto"/>
          <w:sz w:val="20"/>
          <w:szCs w:val="20"/>
          <w:lang w:val="ru-RU"/>
        </w:rPr>
        <w:t>завршувањето</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постапката</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впаричување</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имотот</w:t>
      </w:r>
      <w:proofErr w:type="spellEnd"/>
      <w:r>
        <w:rPr>
          <w:rFonts w:eastAsia="Times New Roman" w:cs="Times New Roman"/>
          <w:color w:val="auto"/>
          <w:sz w:val="20"/>
          <w:szCs w:val="20"/>
          <w:lang w:val="ru-RU"/>
        </w:rPr>
        <w:t>.</w:t>
      </w:r>
    </w:p>
    <w:p w14:paraId="08007D17" w14:textId="77777777" w:rsidR="00D63979" w:rsidRDefault="00D63979" w:rsidP="00D63979">
      <w:pPr>
        <w:jc w:val="both"/>
        <w:rPr>
          <w:rFonts w:eastAsia="Times New Roman" w:cs="Times New Roman"/>
          <w:color w:val="auto"/>
          <w:sz w:val="20"/>
          <w:szCs w:val="20"/>
          <w:lang w:val="ru-RU"/>
        </w:rPr>
      </w:pPr>
      <w:r>
        <w:rPr>
          <w:rFonts w:eastAsia="Times New Roman" w:cs="Times New Roman"/>
          <w:color w:val="auto"/>
          <w:sz w:val="20"/>
          <w:szCs w:val="20"/>
          <w:lang w:val="ru-RU"/>
        </w:rPr>
        <w:t>Трговските друштва кои ги исполнуваат условите за влез во режимот за годишен данок на вкупен приход, а при тоа во текот на годината е настаната статусна промена или постапка за стечај и ликвидација, доколку вкупниот приход на годишно ниво е помал од 3.000.000 денари, можат да поднесат образец “ДБ-ВП” (стечајниот управник во име на даночниот обврзник), во рокот од 60 дена од денот на отварање на постапката за стечај или ликвидација односно статусна промена.</w:t>
      </w:r>
    </w:p>
    <w:p w14:paraId="15CB8518" w14:textId="77777777" w:rsidR="00D63979" w:rsidRDefault="00D63979" w:rsidP="00D63979">
      <w:pPr>
        <w:jc w:val="both"/>
        <w:rPr>
          <w:rFonts w:eastAsia="Times New Roman" w:cs="Times New Roman"/>
          <w:color w:val="auto"/>
          <w:sz w:val="20"/>
          <w:szCs w:val="20"/>
          <w:lang w:val="ru-RU"/>
        </w:rPr>
      </w:pPr>
      <w:r>
        <w:rPr>
          <w:rFonts w:eastAsia="Times New Roman" w:cs="Times New Roman"/>
          <w:color w:val="auto"/>
          <w:sz w:val="20"/>
          <w:szCs w:val="20"/>
          <w:lang w:val="ru-RU"/>
        </w:rPr>
        <w:t xml:space="preserve">Трговски друштва евидентирани во Регистарот за годишен данок на вкупен приход, кои што воедна од наредните даночни периоди (години) по годината на влез во поедноставениот даночен режим, ќе престанат да постојат поради стечај и ликвидација, како и поради настанување на статусна промена (присоединување, спојување, поделба), имаат обврска со денот на отворањето на постапката на ликвидација или стечајна постапка или на настанувањето на статусна промена да го утврдат вкупниот приход за периодот од годината во кој што работеле (во Билансот на успех кон Годишната сметка), како и износот на пресметаниот вкупен приход на годишно ниво, заради утврдување на долгуваниот данок за работењето во таа година. Пресметувањето на вкупниот приход на годишно ниво, се врши на ист начин кој што е пропишан за субјектите кои во даночниот период (годината) започнуваат со вршење на дејност, односно со поделба на остварениот вкупен приход од почетокот на годината заклучно до денот на поведувањето на постапката на стечај и ликвидација, односно на настанувањето на статусната </w:t>
      </w:r>
    </w:p>
    <w:p w14:paraId="3BBDA3DD" w14:textId="11B52912" w:rsidR="00D63979" w:rsidRPr="00565831" w:rsidRDefault="00D63979" w:rsidP="00D63979">
      <w:pPr>
        <w:pStyle w:val="BodyText"/>
        <w:spacing w:after="0"/>
        <w:jc w:val="both"/>
        <w:rPr>
          <w:sz w:val="20"/>
          <w:szCs w:val="20"/>
          <w:lang w:val="ru-RU"/>
        </w:rPr>
      </w:pPr>
      <w:proofErr w:type="spellStart"/>
      <w:r>
        <w:rPr>
          <w:rFonts w:eastAsia="Times New Roman" w:cs="Times New Roman"/>
          <w:color w:val="auto"/>
          <w:sz w:val="20"/>
          <w:szCs w:val="20"/>
          <w:lang w:val="ru-RU"/>
        </w:rPr>
        <w:t>Доколку</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вака</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добиениот</w:t>
      </w:r>
      <w:proofErr w:type="spellEnd"/>
      <w:r>
        <w:rPr>
          <w:rFonts w:eastAsia="Times New Roman" w:cs="Times New Roman"/>
          <w:color w:val="auto"/>
          <w:sz w:val="20"/>
          <w:szCs w:val="20"/>
          <w:lang w:val="ru-RU"/>
        </w:rPr>
        <w:t xml:space="preserve"> износ е </w:t>
      </w:r>
      <w:proofErr w:type="spellStart"/>
      <w:r>
        <w:rPr>
          <w:rFonts w:eastAsia="Times New Roman" w:cs="Times New Roman"/>
          <w:color w:val="auto"/>
          <w:sz w:val="20"/>
          <w:szCs w:val="20"/>
          <w:lang w:val="ru-RU"/>
        </w:rPr>
        <w:t>помал</w:t>
      </w:r>
      <w:proofErr w:type="spellEnd"/>
      <w:r>
        <w:rPr>
          <w:rFonts w:eastAsia="Times New Roman" w:cs="Times New Roman"/>
          <w:color w:val="auto"/>
          <w:sz w:val="20"/>
          <w:szCs w:val="20"/>
          <w:lang w:val="ru-RU"/>
        </w:rPr>
        <w:t xml:space="preserve"> од 6.000.000 </w:t>
      </w:r>
      <w:proofErr w:type="spellStart"/>
      <w:r>
        <w:rPr>
          <w:rFonts w:eastAsia="Times New Roman" w:cs="Times New Roman"/>
          <w:color w:val="auto"/>
          <w:sz w:val="20"/>
          <w:szCs w:val="20"/>
          <w:lang w:val="ru-RU"/>
        </w:rPr>
        <w:t>денари</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трговското</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друштво</w:t>
      </w:r>
      <w:proofErr w:type="spellEnd"/>
      <w:r>
        <w:rPr>
          <w:rFonts w:eastAsia="Times New Roman" w:cs="Times New Roman"/>
          <w:color w:val="auto"/>
          <w:sz w:val="20"/>
          <w:szCs w:val="20"/>
          <w:lang w:val="ru-RU"/>
        </w:rPr>
        <w:t xml:space="preserve"> за </w:t>
      </w:r>
      <w:proofErr w:type="spellStart"/>
      <w:r>
        <w:rPr>
          <w:rFonts w:eastAsia="Times New Roman" w:cs="Times New Roman"/>
          <w:color w:val="auto"/>
          <w:sz w:val="20"/>
          <w:szCs w:val="20"/>
          <w:lang w:val="ru-RU"/>
        </w:rPr>
        <w:t>наведениот</w:t>
      </w:r>
      <w:proofErr w:type="spellEnd"/>
      <w:r>
        <w:rPr>
          <w:rFonts w:eastAsia="Times New Roman" w:cs="Times New Roman"/>
          <w:color w:val="auto"/>
          <w:sz w:val="20"/>
          <w:szCs w:val="20"/>
          <w:lang w:val="ru-RU"/>
        </w:rPr>
        <w:t xml:space="preserve"> период </w:t>
      </w:r>
      <w:proofErr w:type="spellStart"/>
      <w:r>
        <w:rPr>
          <w:rFonts w:eastAsia="Times New Roman" w:cs="Times New Roman"/>
          <w:color w:val="auto"/>
          <w:sz w:val="20"/>
          <w:szCs w:val="20"/>
          <w:lang w:val="ru-RU"/>
        </w:rPr>
        <w:t>плаќа</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годишен</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данок</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вкупен</w:t>
      </w:r>
      <w:proofErr w:type="spellEnd"/>
      <w:r>
        <w:rPr>
          <w:rFonts w:eastAsia="Times New Roman" w:cs="Times New Roman"/>
          <w:color w:val="auto"/>
          <w:sz w:val="20"/>
          <w:szCs w:val="20"/>
          <w:lang w:val="ru-RU"/>
        </w:rPr>
        <w:t xml:space="preserve"> приход, но </w:t>
      </w:r>
      <w:proofErr w:type="spellStart"/>
      <w:r>
        <w:rPr>
          <w:rFonts w:eastAsia="Times New Roman" w:cs="Times New Roman"/>
          <w:color w:val="auto"/>
          <w:sz w:val="20"/>
          <w:szCs w:val="20"/>
          <w:lang w:val="ru-RU"/>
        </w:rPr>
        <w:t>доколку</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овој</w:t>
      </w:r>
      <w:proofErr w:type="spellEnd"/>
      <w:r>
        <w:rPr>
          <w:rFonts w:eastAsia="Times New Roman" w:cs="Times New Roman"/>
          <w:color w:val="auto"/>
          <w:sz w:val="20"/>
          <w:szCs w:val="20"/>
          <w:lang w:val="ru-RU"/>
        </w:rPr>
        <w:t xml:space="preserve"> износ е </w:t>
      </w:r>
      <w:proofErr w:type="spellStart"/>
      <w:r>
        <w:rPr>
          <w:rFonts w:eastAsia="Times New Roman" w:cs="Times New Roman"/>
          <w:color w:val="auto"/>
          <w:sz w:val="20"/>
          <w:szCs w:val="20"/>
          <w:lang w:val="ru-RU"/>
        </w:rPr>
        <w:t>поголем</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трговското</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друштво</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има</w:t>
      </w:r>
      <w:proofErr w:type="spellEnd"/>
      <w:r>
        <w:rPr>
          <w:rFonts w:eastAsia="Times New Roman" w:cs="Times New Roman"/>
          <w:color w:val="auto"/>
          <w:sz w:val="20"/>
          <w:szCs w:val="20"/>
          <w:lang w:val="ru-RU"/>
        </w:rPr>
        <w:t xml:space="preserve"> </w:t>
      </w:r>
      <w:proofErr w:type="spellStart"/>
      <w:r>
        <w:rPr>
          <w:rFonts w:eastAsia="Times New Roman" w:cs="Times New Roman"/>
          <w:color w:val="auto"/>
          <w:sz w:val="20"/>
          <w:szCs w:val="20"/>
          <w:lang w:val="ru-RU"/>
        </w:rPr>
        <w:t>обврска</w:t>
      </w:r>
      <w:proofErr w:type="spellEnd"/>
      <w:r>
        <w:rPr>
          <w:rFonts w:eastAsia="Times New Roman" w:cs="Times New Roman"/>
          <w:color w:val="auto"/>
          <w:sz w:val="20"/>
          <w:szCs w:val="20"/>
          <w:lang w:val="ru-RU"/>
        </w:rPr>
        <w:t xml:space="preserve"> за </w:t>
      </w:r>
      <w:proofErr w:type="spellStart"/>
      <w:r>
        <w:rPr>
          <w:rFonts w:eastAsia="Times New Roman" w:cs="Times New Roman"/>
          <w:color w:val="auto"/>
          <w:sz w:val="20"/>
          <w:szCs w:val="20"/>
          <w:lang w:val="ru-RU"/>
        </w:rPr>
        <w:t>наведениот</w:t>
      </w:r>
      <w:proofErr w:type="spellEnd"/>
      <w:r>
        <w:rPr>
          <w:rFonts w:eastAsia="Times New Roman" w:cs="Times New Roman"/>
          <w:color w:val="auto"/>
          <w:sz w:val="20"/>
          <w:szCs w:val="20"/>
          <w:lang w:val="ru-RU"/>
        </w:rPr>
        <w:t xml:space="preserve"> период да </w:t>
      </w:r>
      <w:proofErr w:type="spellStart"/>
      <w:r>
        <w:rPr>
          <w:rFonts w:eastAsia="Times New Roman" w:cs="Times New Roman"/>
          <w:color w:val="auto"/>
          <w:sz w:val="20"/>
          <w:szCs w:val="20"/>
          <w:lang w:val="ru-RU"/>
        </w:rPr>
        <w:t>пресмета</w:t>
      </w:r>
      <w:proofErr w:type="spellEnd"/>
      <w:r>
        <w:rPr>
          <w:rFonts w:eastAsia="Times New Roman" w:cs="Times New Roman"/>
          <w:color w:val="auto"/>
          <w:sz w:val="20"/>
          <w:szCs w:val="20"/>
          <w:lang w:val="ru-RU"/>
        </w:rPr>
        <w:t xml:space="preserve"> и плати </w:t>
      </w:r>
      <w:proofErr w:type="spellStart"/>
      <w:r>
        <w:rPr>
          <w:rFonts w:eastAsia="Times New Roman" w:cs="Times New Roman"/>
          <w:color w:val="auto"/>
          <w:sz w:val="20"/>
          <w:szCs w:val="20"/>
          <w:lang w:val="ru-RU"/>
        </w:rPr>
        <w:t>данок</w:t>
      </w:r>
      <w:proofErr w:type="spellEnd"/>
      <w:r>
        <w:rPr>
          <w:rFonts w:eastAsia="Times New Roman" w:cs="Times New Roman"/>
          <w:color w:val="auto"/>
          <w:sz w:val="20"/>
          <w:szCs w:val="20"/>
          <w:lang w:val="ru-RU"/>
        </w:rPr>
        <w:t xml:space="preserve"> на </w:t>
      </w:r>
      <w:proofErr w:type="spellStart"/>
      <w:r>
        <w:rPr>
          <w:rFonts w:eastAsia="Times New Roman" w:cs="Times New Roman"/>
          <w:color w:val="auto"/>
          <w:sz w:val="20"/>
          <w:szCs w:val="20"/>
          <w:lang w:val="ru-RU"/>
        </w:rPr>
        <w:t>добивк</w:t>
      </w:r>
      <w:r>
        <w:rPr>
          <w:rFonts w:eastAsia="Times New Roman" w:cs="Times New Roman"/>
          <w:color w:val="auto"/>
          <w:sz w:val="20"/>
          <w:szCs w:val="20"/>
          <w:lang w:val="ru-RU"/>
        </w:rPr>
        <w:t>а</w:t>
      </w:r>
      <w:proofErr w:type="spellEnd"/>
    </w:p>
    <w:p w14:paraId="193B1196" w14:textId="70379566" w:rsidR="009157F7" w:rsidRPr="00D63979" w:rsidRDefault="009157F7" w:rsidP="00D63979">
      <w:pPr>
        <w:rPr>
          <w:lang w:val="ru-RU"/>
        </w:rPr>
      </w:pPr>
    </w:p>
    <w:sectPr w:rsidR="009157F7" w:rsidRPr="00D63979"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8271C" w14:textId="77777777" w:rsidR="00612379" w:rsidRPr="00C567EE" w:rsidRDefault="00612379" w:rsidP="00805345">
      <w:r w:rsidRPr="00C567EE">
        <w:separator/>
      </w:r>
    </w:p>
  </w:endnote>
  <w:endnote w:type="continuationSeparator" w:id="0">
    <w:p w14:paraId="662C0DFC" w14:textId="77777777" w:rsidR="00612379" w:rsidRPr="00C567EE" w:rsidRDefault="00612379"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F8692" w14:textId="77777777" w:rsidR="00612379" w:rsidRPr="00C567EE" w:rsidRDefault="00612379" w:rsidP="00805345">
      <w:r w:rsidRPr="00C567EE">
        <w:separator/>
      </w:r>
    </w:p>
  </w:footnote>
  <w:footnote w:type="continuationSeparator" w:id="0">
    <w:p w14:paraId="305B1425" w14:textId="77777777" w:rsidR="00612379" w:rsidRPr="00C567EE" w:rsidRDefault="00612379"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2379"/>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885</Words>
  <Characters>5045</Characters>
  <Application>Microsoft Office Word</Application>
  <DocSecurity>0</DocSecurity>
  <Lines>42</Lines>
  <Paragraphs>11</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5919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3</cp:revision>
  <cp:lastPrinted>2025-07-22T09:03:00Z</cp:lastPrinted>
  <dcterms:created xsi:type="dcterms:W3CDTF">2025-10-22T07:49:00Z</dcterms:created>
  <dcterms:modified xsi:type="dcterms:W3CDTF">2025-10-22T07:56:00Z</dcterms:modified>
</cp:coreProperties>
</file>