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6B63E4" w14:textId="77777777" w:rsidR="006E1D2F" w:rsidRDefault="006E1D2F" w:rsidP="006E1D2F">
      <w:pPr>
        <w:rPr>
          <w:rFonts w:eastAsia="Times New Roman"/>
          <w:b/>
          <w:bCs/>
          <w:color w:val="000000" w:themeColor="text1"/>
          <w:sz w:val="20"/>
          <w:szCs w:val="18"/>
          <w:lang w:val="ru-RU"/>
        </w:rPr>
      </w:pPr>
      <w:r w:rsidRPr="00193161">
        <w:rPr>
          <w:rFonts w:eastAsia="Times New Roman"/>
          <w:b/>
          <w:bCs/>
          <w:color w:val="000000" w:themeColor="text1"/>
          <w:sz w:val="20"/>
          <w:szCs w:val="18"/>
          <w:lang w:val="ru-RU"/>
        </w:rPr>
        <w:t xml:space="preserve">МИСЛЕЊЕ </w:t>
      </w:r>
      <w:r w:rsidRPr="00193161">
        <w:rPr>
          <w:rFonts w:eastAsia="Times New Roman"/>
          <w:b/>
          <w:bCs/>
          <w:color w:val="000000" w:themeColor="text1"/>
          <w:sz w:val="20"/>
          <w:szCs w:val="18"/>
        </w:rPr>
        <w:t xml:space="preserve">од </w:t>
      </w:r>
      <w:r w:rsidRPr="00193161">
        <w:rPr>
          <w:rFonts w:eastAsia="Times New Roman"/>
          <w:b/>
          <w:bCs/>
          <w:color w:val="000000" w:themeColor="text1"/>
          <w:sz w:val="20"/>
          <w:szCs w:val="18"/>
          <w:lang w:val="ru-RU"/>
        </w:rPr>
        <w:t>14.02.2024:</w:t>
      </w:r>
    </w:p>
    <w:p w14:paraId="75E3E2CA" w14:textId="77777777" w:rsidR="006E1D2F" w:rsidRPr="00565831" w:rsidRDefault="006E1D2F" w:rsidP="006E1D2F">
      <w:pPr>
        <w:jc w:val="both"/>
        <w:rPr>
          <w:sz w:val="20"/>
          <w:szCs w:val="20"/>
          <w:lang w:val="ru-RU"/>
        </w:rPr>
      </w:pPr>
    </w:p>
    <w:p w14:paraId="42804BBB" w14:textId="77777777" w:rsidR="006E1D2F" w:rsidRPr="00AC42C9" w:rsidRDefault="006E1D2F" w:rsidP="006E1D2F">
      <w:pPr>
        <w:jc w:val="both"/>
        <w:rPr>
          <w:sz w:val="20"/>
          <w:szCs w:val="20"/>
          <w:lang w:val="ru-RU"/>
        </w:rPr>
      </w:pPr>
      <w:r w:rsidRPr="00AC42C9">
        <w:rPr>
          <w:sz w:val="20"/>
          <w:szCs w:val="20"/>
          <w:lang w:val="ru-RU"/>
        </w:rPr>
        <w:t>Почитувани,</w:t>
      </w:r>
    </w:p>
    <w:p w14:paraId="4EE61196" w14:textId="77777777" w:rsidR="006E1D2F" w:rsidRPr="00AC42C9" w:rsidRDefault="006E1D2F" w:rsidP="006E1D2F">
      <w:pPr>
        <w:ind w:firstLine="720"/>
        <w:jc w:val="both"/>
        <w:rPr>
          <w:sz w:val="20"/>
          <w:szCs w:val="20"/>
          <w:lang w:val="ru-RU"/>
        </w:rPr>
      </w:pPr>
    </w:p>
    <w:p w14:paraId="6B3D7A5C" w14:textId="77777777" w:rsidR="006E1D2F" w:rsidRPr="00AC42C9" w:rsidRDefault="006E1D2F" w:rsidP="006E1D2F">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308C1794" w14:textId="77777777" w:rsidR="006E1D2F" w:rsidRDefault="006E1D2F" w:rsidP="006E1D2F">
      <w:pPr>
        <w:jc w:val="both"/>
        <w:rPr>
          <w:rFonts w:cs="StobiSerifRegular"/>
          <w:b/>
          <w:color w:val="auto"/>
          <w:sz w:val="20"/>
          <w:u w:val="single"/>
          <w:lang w:val="ru-RU"/>
        </w:rPr>
      </w:pPr>
    </w:p>
    <w:p w14:paraId="097161DC" w14:textId="77777777" w:rsidR="006E1D2F" w:rsidRPr="00611DAE" w:rsidRDefault="006E1D2F" w:rsidP="006E1D2F">
      <w:pPr>
        <w:autoSpaceDE w:val="0"/>
        <w:autoSpaceDN w:val="0"/>
        <w:adjustRightInd w:val="0"/>
        <w:rPr>
          <w:rFonts w:eastAsia="Times New Roman"/>
          <w:b/>
          <w:bCs/>
          <w:color w:val="000000" w:themeColor="text1"/>
          <w:sz w:val="20"/>
          <w:szCs w:val="18"/>
          <w:lang w:val="ru-RU"/>
        </w:rPr>
      </w:pPr>
    </w:p>
    <w:p w14:paraId="5DC3E746" w14:textId="77777777" w:rsidR="006E1D2F" w:rsidRPr="006E1D2F" w:rsidRDefault="006E1D2F" w:rsidP="006E1D2F">
      <w:pPr>
        <w:shd w:val="clear" w:color="auto" w:fill="FFFFFF"/>
        <w:jc w:val="both"/>
        <w:rPr>
          <w:sz w:val="20"/>
          <w:szCs w:val="20"/>
          <w:lang w:val="ru-RU"/>
        </w:rPr>
      </w:pPr>
      <w:r w:rsidRPr="006E1D2F">
        <w:rPr>
          <w:sz w:val="20"/>
          <w:szCs w:val="20"/>
          <w:lang w:val="ru-RU"/>
        </w:rPr>
        <w:t>Согласно член 7 од Законот за данок на (во натамошен текст:ЗДД) објавен во „Сл.весник на РМ“, бр.112/14...248/18 и „Сл.весник на РСМ“, бр.232/19...199/23, основа за пресметување на данокот од добивка е добивката која се утврдува во даночниот биланс.</w:t>
      </w:r>
    </w:p>
    <w:p w14:paraId="3F8C44AB" w14:textId="77777777" w:rsidR="006E1D2F" w:rsidRPr="006E1D2F" w:rsidRDefault="006E1D2F" w:rsidP="006E1D2F">
      <w:pPr>
        <w:shd w:val="clear" w:color="auto" w:fill="FFFFFF"/>
        <w:jc w:val="both"/>
        <w:rPr>
          <w:sz w:val="20"/>
          <w:szCs w:val="20"/>
          <w:lang w:val="ru-RU"/>
        </w:rPr>
      </w:pPr>
      <w:r w:rsidRPr="006E1D2F">
        <w:rPr>
          <w:sz w:val="20"/>
          <w:szCs w:val="20"/>
          <w:lang w:val="ru-RU"/>
        </w:rPr>
        <w:t>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w:t>
      </w:r>
    </w:p>
    <w:p w14:paraId="03331E9B" w14:textId="77777777" w:rsidR="006E1D2F" w:rsidRPr="006E1D2F" w:rsidRDefault="006E1D2F" w:rsidP="006E1D2F">
      <w:pPr>
        <w:shd w:val="clear" w:color="auto" w:fill="FFFFFF"/>
        <w:jc w:val="both"/>
        <w:rPr>
          <w:sz w:val="20"/>
          <w:szCs w:val="20"/>
          <w:lang w:val="ru-RU"/>
        </w:rPr>
      </w:pPr>
      <w:r w:rsidRPr="006E1D2F">
        <w:rPr>
          <w:sz w:val="20"/>
          <w:szCs w:val="20"/>
          <w:lang w:val="ru-RU"/>
        </w:rPr>
        <w:t>Во однос на водењето на сметководството, согласно член  469 од Законот за трговските друштва („Службен весник на Република Македонија” бр.28/04...215/21), секој трговец има обврска да води сметководство на начинот определен со овој закон и со прописите за сметководство и:</w:t>
      </w:r>
    </w:p>
    <w:p w14:paraId="5B29C28D" w14:textId="77777777" w:rsidR="006E1D2F" w:rsidRPr="006E1D2F" w:rsidRDefault="006E1D2F" w:rsidP="006E1D2F">
      <w:pPr>
        <w:shd w:val="clear" w:color="auto" w:fill="FFFFFF"/>
        <w:jc w:val="both"/>
        <w:rPr>
          <w:sz w:val="20"/>
          <w:szCs w:val="20"/>
          <w:lang w:val="ru-RU"/>
        </w:rPr>
      </w:pPr>
      <w:r w:rsidRPr="006E1D2F">
        <w:rPr>
          <w:sz w:val="20"/>
          <w:szCs w:val="20"/>
          <w:lang w:val="ru-RU"/>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6C197570" w14:textId="77777777" w:rsidR="006E1D2F" w:rsidRPr="006E1D2F" w:rsidRDefault="006E1D2F" w:rsidP="006E1D2F">
      <w:pPr>
        <w:shd w:val="clear" w:color="auto" w:fill="FFFFFF"/>
        <w:jc w:val="both"/>
        <w:rPr>
          <w:sz w:val="20"/>
          <w:szCs w:val="20"/>
          <w:lang w:val="ru-RU"/>
        </w:rPr>
      </w:pPr>
      <w:r w:rsidRPr="006E1D2F">
        <w:rPr>
          <w:sz w:val="20"/>
          <w:szCs w:val="20"/>
          <w:lang w:val="ru-RU"/>
        </w:rPr>
        <w:t>2)другите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27BB2ED8" w14:textId="77777777" w:rsidR="006E1D2F" w:rsidRPr="006E1D2F" w:rsidRDefault="006E1D2F" w:rsidP="006E1D2F">
      <w:pPr>
        <w:shd w:val="clear" w:color="auto" w:fill="FFFFFF"/>
        <w:jc w:val="both"/>
        <w:rPr>
          <w:sz w:val="20"/>
          <w:szCs w:val="20"/>
          <w:lang w:val="ru-RU"/>
        </w:rPr>
      </w:pPr>
      <w:r w:rsidRPr="006E1D2F">
        <w:rPr>
          <w:sz w:val="20"/>
          <w:szCs w:val="20"/>
          <w:lang w:val="ru-RU"/>
        </w:rPr>
        <w:t>Во  Правилникот за водење на сметководство објавен во „Сл.весник на РМ“ бр.159/09...107/11 се објавени Меѓународните сметководствени стандарди (МСС), и Меѓународен стандард за финансиско известување (МСФИ) за мали и средни ентитети (МСЕ). Конкретно МСС-39 Финансиски инструменти: признавање и мерење.</w:t>
      </w:r>
    </w:p>
    <w:p w14:paraId="5300D056" w14:textId="77777777" w:rsidR="006E1D2F" w:rsidRPr="006E1D2F" w:rsidRDefault="006E1D2F" w:rsidP="006E1D2F">
      <w:pPr>
        <w:shd w:val="clear" w:color="auto" w:fill="FFFFFF"/>
        <w:jc w:val="both"/>
        <w:rPr>
          <w:sz w:val="20"/>
          <w:szCs w:val="20"/>
          <w:lang w:val="ru-RU"/>
        </w:rPr>
      </w:pPr>
      <w:r w:rsidRPr="006E1D2F">
        <w:rPr>
          <w:sz w:val="20"/>
          <w:szCs w:val="20"/>
          <w:lang w:val="ru-RU"/>
        </w:rPr>
        <w:t>Согласно точката 17 од МСС 39, Ентитетот треба да отпише финансиско средство кога, и само кога: (a) Истекуваат договорните права на паричните текови од финансиското средство. (б) Го пренесува финансиското средство како што е наведено во точките 18 и 19 и пренесувањето се квалификува за отпис во согласност со точка 20. (Види точка 38 за редовен начин на продажби на финансиски средства.)</w:t>
      </w:r>
    </w:p>
    <w:p w14:paraId="6145521A"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Во точката 18 од МСС 39 е наведено дека ентитетот пренесува финансиско средство доколку, и само доколку: (a) Тој ги пренесе договорните права да ги прими паричните текови од финансиското средство. (б) Тој ги задржи договорните права да ги прими паричните текови од финансиското средство, но превзема договорна обврска да ги плати паричните текови на еден или повеќе приматели во аранжман кој ги исполнува условите наведени во точка 19.            </w:t>
      </w:r>
    </w:p>
    <w:p w14:paraId="3B6B87A3"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Според точка 20 од МСС 39, кога ентитетот пренесува финансиско средство (види точка 18), тој треба да го оцени степенот до кој тој ги задржува ризиците и наградите од сопственоста на финансиското средство. Во овој случај: </w:t>
      </w:r>
    </w:p>
    <w:p w14:paraId="273F4A0A"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(a) Доколку ентитетот ги пренесе суштински сите ризици и награди од сопственоста на финансиското средство, ентитетот треба да го отпише финансиското средство и одделно да ги признае како средства или обврски сите права и обврски кои се создадени или задржани во преносот. </w:t>
      </w:r>
    </w:p>
    <w:p w14:paraId="42082299"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(б) Доколку ентитетот ги задржува суштински сите ризици и награди од сопственоста на финансиското средство, ентитетот треба да продолжи да го признава финансиското средство. (в) Доколку ентитетот не ги пренесува ниту ги задржува суштински сите ризици и награди од сопственоста на финансиското </w:t>
      </w:r>
      <w:r w:rsidRPr="006E1D2F">
        <w:rPr>
          <w:sz w:val="20"/>
          <w:szCs w:val="20"/>
          <w:lang w:val="ru-RU"/>
        </w:rPr>
        <w:lastRenderedPageBreak/>
        <w:t xml:space="preserve">средство, ентитетот треба да утврди дали тој ја задржал контролата на финансиското средство. Во овој случај: </w:t>
      </w:r>
    </w:p>
    <w:p w14:paraId="4D240D91"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(i) Доколку ентитетот не ја задржал контролата, тој треба да го отпише финансиското средство и да ги признае одделно како средства или обврски сите права и обврски кои се создадени или задржани во преносот. </w:t>
      </w:r>
    </w:p>
    <w:p w14:paraId="7B29402D"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 (ii) Доколку ентитетот ја задржал контролата, тој треба да продолжи да го признава финансиското средство до степенот на неговото континуирано инволвирање во финансиското средство (види точка 30).    </w:t>
      </w:r>
    </w:p>
    <w:p w14:paraId="788FE9A4" w14:textId="77777777" w:rsidR="006E1D2F" w:rsidRPr="006E1D2F" w:rsidRDefault="006E1D2F" w:rsidP="006E1D2F">
      <w:pPr>
        <w:shd w:val="clear" w:color="auto" w:fill="FFFFFF"/>
        <w:jc w:val="both"/>
        <w:rPr>
          <w:sz w:val="20"/>
          <w:szCs w:val="20"/>
          <w:lang w:val="ru-RU"/>
        </w:rPr>
      </w:pPr>
      <w:r w:rsidRPr="006E1D2F">
        <w:rPr>
          <w:sz w:val="20"/>
          <w:szCs w:val="20"/>
          <w:lang w:val="ru-RU"/>
        </w:rPr>
        <w:t>Согласно член 9 став 1 точка 1 како непризнаени расходи за даночни цели се сметаат:  расходите кои не се поврзани со вршење на дејност на субјектот, односно не се непосреден услов за извршување на таа дејност и точка 7 скриените исплати на добивки како што се: давање на одредени производи и услуги на содружниците или акционерите или на нив поврзани лица по цена пониска од пазарната, вклучувајќи ја и пониската камата на одобрените заеми; плаќање за добиените производи и услуги од содружниците или акционерите или на нив поврзани лица, по цени повисоки од пазарните и овозможување на стекнување на добивки на содружниците или акционерите или на нив поврзани лица.</w:t>
      </w:r>
    </w:p>
    <w:p w14:paraId="44033CFA" w14:textId="77777777" w:rsidR="006E1D2F" w:rsidRPr="006E1D2F" w:rsidRDefault="006E1D2F" w:rsidP="006E1D2F">
      <w:pPr>
        <w:shd w:val="clear" w:color="auto" w:fill="FFFFFF"/>
        <w:jc w:val="both"/>
        <w:rPr>
          <w:sz w:val="20"/>
          <w:szCs w:val="20"/>
          <w:lang w:val="ru-RU"/>
        </w:rPr>
      </w:pPr>
      <w:r w:rsidRPr="006E1D2F">
        <w:rPr>
          <w:sz w:val="20"/>
          <w:szCs w:val="20"/>
          <w:lang w:val="ru-RU"/>
        </w:rPr>
        <w:t>Воедно упатуваме и на член 12 од Законот за даночна постапка (Службен весник на РМ бр.13/06...35/18, Службен весник на РСМ,, бр.275/19, 247/22.</w:t>
      </w:r>
    </w:p>
    <w:p w14:paraId="4B471B29" w14:textId="77777777" w:rsidR="006E1D2F" w:rsidRPr="006E1D2F" w:rsidRDefault="006E1D2F" w:rsidP="006E1D2F">
      <w:pPr>
        <w:shd w:val="clear" w:color="auto" w:fill="FFFFFF"/>
        <w:jc w:val="both"/>
        <w:rPr>
          <w:sz w:val="20"/>
          <w:szCs w:val="20"/>
          <w:lang w:val="ru-RU"/>
        </w:rPr>
      </w:pPr>
      <w:r w:rsidRPr="006E1D2F">
        <w:rPr>
          <w:sz w:val="20"/>
          <w:szCs w:val="20"/>
          <w:lang w:val="ru-RU"/>
        </w:rPr>
        <w:t>Ако со привидна правна работа се прикрива некоја друга правна работа, во тој случај, за утврдување на даночната обврска основата ја чини прикриената правна работа.</w:t>
      </w:r>
    </w:p>
    <w:p w14:paraId="01E9D3A8" w14:textId="77777777" w:rsidR="006E1D2F" w:rsidRPr="006E1D2F" w:rsidRDefault="006E1D2F" w:rsidP="006E1D2F">
      <w:pPr>
        <w:shd w:val="clear" w:color="auto" w:fill="FFFFFF"/>
        <w:jc w:val="both"/>
        <w:rPr>
          <w:sz w:val="20"/>
          <w:szCs w:val="20"/>
          <w:lang w:val="ru-RU"/>
        </w:rPr>
      </w:pPr>
      <w:r w:rsidRPr="006E1D2F">
        <w:rPr>
          <w:sz w:val="20"/>
          <w:szCs w:val="20"/>
          <w:lang w:val="ru-RU"/>
        </w:rPr>
        <w:t xml:space="preserve">Според сето наведено и информациите изнесени во Вашето прашање, упатуваме дека кога   ентитетот пренесува финансиско треба да се имаат предвид упатувањата од МСС 39. </w:t>
      </w:r>
    </w:p>
    <w:p w14:paraId="193B1196" w14:textId="70379566" w:rsidR="009157F7" w:rsidRPr="006E1D2F" w:rsidRDefault="009157F7" w:rsidP="006E1D2F">
      <w:pPr>
        <w:shd w:val="clear" w:color="auto" w:fill="FFFFFF"/>
        <w:jc w:val="both"/>
        <w:rPr>
          <w:sz w:val="20"/>
          <w:szCs w:val="20"/>
          <w:lang w:val="ru-RU"/>
        </w:rPr>
      </w:pPr>
    </w:p>
    <w:sectPr w:rsidR="009157F7" w:rsidRPr="006E1D2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72772" w14:textId="77777777" w:rsidR="0081661E" w:rsidRPr="001F0481" w:rsidRDefault="0081661E" w:rsidP="00805345">
      <w:r w:rsidRPr="001F0481">
        <w:separator/>
      </w:r>
    </w:p>
  </w:endnote>
  <w:endnote w:type="continuationSeparator" w:id="0">
    <w:p w14:paraId="40FE1310" w14:textId="77777777" w:rsidR="0081661E" w:rsidRPr="001F0481" w:rsidRDefault="0081661E"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1F0481" w:rsidRDefault="004356A9" w:rsidP="00A66361">
    <w:pPr>
      <w:pStyle w:val="a6"/>
      <w:jc w:val="center"/>
      <w:rPr>
        <w:color w:val="5F5F5F"/>
        <w:sz w:val="14"/>
        <w:szCs w:val="14"/>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1F0481">
      <w:rPr>
        <w:color w:val="5F5F5F"/>
        <w:sz w:val="14"/>
        <w:szCs w:val="14"/>
      </w:rPr>
      <w:fldChar w:fldCharType="begin"/>
    </w:r>
    <w:r w:rsidR="00A90A7F" w:rsidRPr="001F0481">
      <w:rPr>
        <w:color w:val="5F5F5F"/>
        <w:sz w:val="14"/>
        <w:szCs w:val="14"/>
      </w:rPr>
      <w:instrText xml:space="preserve"> PAGE </w:instrText>
    </w:r>
    <w:r w:rsidR="005739D4" w:rsidRPr="001F0481">
      <w:rPr>
        <w:color w:val="5F5F5F"/>
        <w:sz w:val="14"/>
        <w:szCs w:val="14"/>
      </w:rPr>
      <w:fldChar w:fldCharType="separate"/>
    </w:r>
    <w:r w:rsidR="00F101A8" w:rsidRPr="001F0481">
      <w:rPr>
        <w:color w:val="5F5F5F"/>
        <w:sz w:val="14"/>
        <w:szCs w:val="14"/>
      </w:rPr>
      <w:t>1</w:t>
    </w:r>
    <w:r w:rsidR="005739D4" w:rsidRPr="001F0481">
      <w:rPr>
        <w:color w:val="5F5F5F"/>
        <w:sz w:val="14"/>
        <w:szCs w:val="14"/>
      </w:rPr>
      <w:fldChar w:fldCharType="end"/>
    </w:r>
    <w:r w:rsidR="00A90A7F" w:rsidRPr="001F0481">
      <w:rPr>
        <w:color w:val="5F5F5F"/>
        <w:sz w:val="14"/>
        <w:szCs w:val="14"/>
      </w:rPr>
      <w:t>/</w:t>
    </w:r>
    <w:r w:rsidR="005739D4" w:rsidRPr="001F0481">
      <w:rPr>
        <w:color w:val="5F5F5F"/>
        <w:sz w:val="14"/>
        <w:szCs w:val="14"/>
      </w:rPr>
      <w:fldChar w:fldCharType="begin"/>
    </w:r>
    <w:r w:rsidR="00A90A7F" w:rsidRPr="001F0481">
      <w:rPr>
        <w:color w:val="5F5F5F"/>
        <w:sz w:val="14"/>
        <w:szCs w:val="14"/>
      </w:rPr>
      <w:instrText xml:space="preserve"> NUMPAGES  </w:instrText>
    </w:r>
    <w:r w:rsidR="005739D4" w:rsidRPr="001F0481">
      <w:rPr>
        <w:color w:val="5F5F5F"/>
        <w:sz w:val="14"/>
        <w:szCs w:val="14"/>
      </w:rPr>
      <w:fldChar w:fldCharType="separate"/>
    </w:r>
    <w:r w:rsidR="00F101A8" w:rsidRPr="001F0481">
      <w:rPr>
        <w:color w:val="5F5F5F"/>
        <w:sz w:val="14"/>
        <w:szCs w:val="14"/>
      </w:rPr>
      <w:t>1</w:t>
    </w:r>
    <w:r w:rsidR="005739D4" w:rsidRPr="001F0481">
      <w:rPr>
        <w:color w:val="5F5F5F"/>
        <w:sz w:val="14"/>
        <w:szCs w:val="14"/>
      </w:rPr>
      <w:fldChar w:fldCharType="end"/>
    </w:r>
    <w:r w:rsidR="00A66361">
      <w:rPr>
        <w:color w:val="5F5F5F"/>
        <w:sz w:val="14"/>
        <w:szCs w:val="14"/>
        <w:lang w:val="en-US"/>
      </w:rPr>
      <w:br/>
    </w:r>
    <w:r w:rsidR="007504CB" w:rsidRPr="001F0481">
      <w:rPr>
        <w:color w:val="5F5F5F"/>
        <w:sz w:val="14"/>
        <w:szCs w:val="14"/>
      </w:rPr>
      <w:t>(дд.мм.г</w:t>
    </w:r>
    <w:r w:rsidR="00A66361">
      <w:rPr>
        <w:color w:val="5F5F5F"/>
        <w:sz w:val="14"/>
        <w:szCs w:val="14"/>
      </w:rPr>
      <w:t>ггг</w:t>
    </w:r>
    <w:r w:rsidR="007504CB" w:rsidRPr="001F0481">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DFF00" w14:textId="77777777" w:rsidR="0081661E" w:rsidRPr="001F0481" w:rsidRDefault="0081661E" w:rsidP="00805345">
      <w:r w:rsidRPr="001F0481">
        <w:separator/>
      </w:r>
    </w:p>
  </w:footnote>
  <w:footnote w:type="continuationSeparator" w:id="0">
    <w:p w14:paraId="7B2CA4E4" w14:textId="77777777" w:rsidR="0081661E" w:rsidRPr="001F0481" w:rsidRDefault="0081661E"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1661E"/>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755</Words>
  <Characters>4306</Characters>
  <Application>Microsoft Office Word</Application>
  <DocSecurity>0</DocSecurity>
  <Lines>35</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5051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2025-10-22T06:01:00Z</dcterms:created>
  <dcterms:modified xsi:type="dcterms:W3CDTF">2025-10-22T06:01:00Z</dcterms:modified>
</cp:coreProperties>
</file>